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035" w:rsidRDefault="00257868" w:rsidP="00353035">
      <w:pPr>
        <w:spacing w:line="360" w:lineRule="auto"/>
        <w:jc w:val="center"/>
        <w:rPr>
          <w:rFonts w:ascii="Garamond" w:hAnsi="Garamond"/>
          <w:b/>
        </w:rPr>
      </w:pPr>
      <w:r>
        <w:rPr>
          <w:rFonts w:ascii="Garamond" w:hAnsi="Garamond"/>
          <w:b/>
        </w:rPr>
        <w:t xml:space="preserve">CP 8813. </w:t>
      </w:r>
      <w:r w:rsidR="00353035">
        <w:rPr>
          <w:rFonts w:ascii="Garamond" w:hAnsi="Garamond"/>
          <w:b/>
        </w:rPr>
        <w:t xml:space="preserve">URBANIZATION AND DEVELOPMENT: </w:t>
      </w:r>
    </w:p>
    <w:p w:rsidR="00DB1852" w:rsidRPr="008B3CE9" w:rsidRDefault="00B94B5A" w:rsidP="00353035">
      <w:pPr>
        <w:spacing w:line="360" w:lineRule="auto"/>
        <w:jc w:val="center"/>
        <w:rPr>
          <w:rFonts w:ascii="Garamond" w:hAnsi="Garamond"/>
          <w:b/>
        </w:rPr>
      </w:pPr>
      <w:r>
        <w:rPr>
          <w:rFonts w:ascii="Garamond" w:hAnsi="Garamond"/>
          <w:b/>
        </w:rPr>
        <w:t>CHALLENGES AND OPPORTUNITIES IN DEVELOPING COUNTRIES</w:t>
      </w:r>
    </w:p>
    <w:p w:rsidR="00DB1852" w:rsidRDefault="00DB1852" w:rsidP="008D5440">
      <w:pPr>
        <w:jc w:val="right"/>
        <w:rPr>
          <w:rFonts w:ascii="Garamond" w:hAnsi="Garamond"/>
        </w:rPr>
      </w:pPr>
      <w:r>
        <w:rPr>
          <w:rFonts w:ascii="Garamond" w:hAnsi="Garamond"/>
        </w:rPr>
        <w:t>Nestor Garza</w:t>
      </w:r>
    </w:p>
    <w:p w:rsidR="00257868" w:rsidRDefault="00257868" w:rsidP="008D5440">
      <w:pPr>
        <w:jc w:val="right"/>
        <w:rPr>
          <w:rFonts w:ascii="Garamond" w:hAnsi="Garamond"/>
        </w:rPr>
      </w:pPr>
      <w:r>
        <w:rPr>
          <w:rFonts w:ascii="Garamond" w:hAnsi="Garamond"/>
        </w:rPr>
        <w:t>Spring 2018</w:t>
      </w:r>
    </w:p>
    <w:p w:rsidR="007D196E" w:rsidRPr="00257868" w:rsidRDefault="00257868" w:rsidP="008D5440">
      <w:pPr>
        <w:jc w:val="right"/>
        <w:rPr>
          <w:rFonts w:ascii="Garamond" w:hAnsi="Garamond"/>
        </w:rPr>
      </w:pPr>
      <w:r w:rsidRPr="00257868">
        <w:rPr>
          <w:rFonts w:ascii="Garamond" w:hAnsi="Garamond"/>
        </w:rPr>
        <w:t>Tuesday and Thursday 1:</w:t>
      </w:r>
      <w:r w:rsidR="00E16430">
        <w:rPr>
          <w:rFonts w:ascii="Garamond" w:hAnsi="Garamond"/>
        </w:rPr>
        <w:t>30</w:t>
      </w:r>
      <w:r w:rsidRPr="00257868">
        <w:rPr>
          <w:rFonts w:ascii="Garamond" w:hAnsi="Garamond"/>
        </w:rPr>
        <w:t xml:space="preserve"> – </w:t>
      </w:r>
      <w:r w:rsidR="00E16430">
        <w:rPr>
          <w:rFonts w:ascii="Garamond" w:hAnsi="Garamond"/>
        </w:rPr>
        <w:t>2:45</w:t>
      </w:r>
    </w:p>
    <w:p w:rsidR="00DB1852" w:rsidRPr="00E16430" w:rsidRDefault="00E16430" w:rsidP="008D5440">
      <w:pPr>
        <w:jc w:val="right"/>
        <w:rPr>
          <w:rFonts w:ascii="Garamond" w:hAnsi="Garamond"/>
        </w:rPr>
      </w:pPr>
      <w:r w:rsidRPr="00E16430">
        <w:rPr>
          <w:rFonts w:ascii="Garamond" w:hAnsi="Garamond"/>
        </w:rPr>
        <w:t>Architecture (West) 259</w:t>
      </w:r>
      <w:r w:rsidR="00DB1852" w:rsidRPr="00E16430">
        <w:rPr>
          <w:rFonts w:ascii="Garamond" w:hAnsi="Garamond"/>
        </w:rPr>
        <w:t xml:space="preserve"> </w:t>
      </w:r>
    </w:p>
    <w:p w:rsidR="00DB1852" w:rsidRDefault="00DB1852" w:rsidP="00DB1852">
      <w:pPr>
        <w:tabs>
          <w:tab w:val="left" w:pos="2880"/>
          <w:tab w:val="left" w:pos="4320"/>
        </w:tabs>
        <w:rPr>
          <w:color w:val="FF0000"/>
          <w:sz w:val="22"/>
          <w:szCs w:val="22"/>
        </w:rPr>
      </w:pPr>
    </w:p>
    <w:p w:rsidR="00DB1852" w:rsidRDefault="00DB1852" w:rsidP="00DB1852">
      <w:pPr>
        <w:ind w:right="-90"/>
        <w:rPr>
          <w:sz w:val="22"/>
          <w:szCs w:val="22"/>
        </w:rPr>
      </w:pPr>
      <w:r>
        <w:rPr>
          <w:sz w:val="22"/>
          <w:szCs w:val="22"/>
        </w:rPr>
        <w:t>Nestor Garza</w:t>
      </w:r>
    </w:p>
    <w:p w:rsidR="00DB1852" w:rsidRPr="00A268D2" w:rsidRDefault="00DB1852" w:rsidP="00DB1852">
      <w:pPr>
        <w:ind w:right="-90"/>
        <w:rPr>
          <w:sz w:val="22"/>
          <w:szCs w:val="22"/>
        </w:rPr>
      </w:pPr>
      <w:r w:rsidRPr="00A268D2">
        <w:rPr>
          <w:sz w:val="22"/>
          <w:szCs w:val="22"/>
        </w:rPr>
        <w:t xml:space="preserve">Office Hours: </w:t>
      </w:r>
      <w:r w:rsidR="00A268D2" w:rsidRPr="00A268D2">
        <w:rPr>
          <w:sz w:val="22"/>
          <w:szCs w:val="22"/>
        </w:rPr>
        <w:t>Monday 3:00 – 4:00 PM, and Tuesday 9:30 – 10:30 AM</w:t>
      </w:r>
    </w:p>
    <w:p w:rsidR="00DB1852" w:rsidRPr="00A7100D" w:rsidRDefault="00DB1852" w:rsidP="00DB1852">
      <w:pPr>
        <w:tabs>
          <w:tab w:val="left" w:pos="2880"/>
          <w:tab w:val="left" w:pos="4320"/>
        </w:tabs>
        <w:rPr>
          <w:rFonts w:ascii="Verdana" w:hAnsi="Verdana"/>
          <w:color w:val="000000"/>
          <w:sz w:val="22"/>
          <w:szCs w:val="22"/>
        </w:rPr>
      </w:pPr>
      <w:r>
        <w:rPr>
          <w:sz w:val="22"/>
          <w:szCs w:val="22"/>
        </w:rPr>
        <w:tab/>
      </w:r>
      <w:r>
        <w:rPr>
          <w:sz w:val="22"/>
          <w:szCs w:val="22"/>
        </w:rPr>
        <w:tab/>
      </w:r>
      <w:r>
        <w:rPr>
          <w:sz w:val="22"/>
          <w:szCs w:val="22"/>
        </w:rPr>
        <w:tab/>
      </w:r>
    </w:p>
    <w:p w:rsidR="00DB1852" w:rsidRDefault="00DB1852" w:rsidP="00DB1852">
      <w:pPr>
        <w:tabs>
          <w:tab w:val="left" w:pos="2880"/>
          <w:tab w:val="left" w:pos="4320"/>
        </w:tabs>
        <w:rPr>
          <w:sz w:val="22"/>
          <w:szCs w:val="22"/>
        </w:rPr>
      </w:pPr>
    </w:p>
    <w:p w:rsidR="00DB1852" w:rsidRPr="00C275E8" w:rsidRDefault="00DB1852" w:rsidP="00DB1852">
      <w:pPr>
        <w:spacing w:line="360" w:lineRule="auto"/>
        <w:jc w:val="both"/>
        <w:rPr>
          <w:rFonts w:ascii="Garamond" w:hAnsi="Garamond"/>
          <w:b/>
          <w:sz w:val="28"/>
          <w:szCs w:val="28"/>
        </w:rPr>
      </w:pPr>
      <w:r w:rsidRPr="00C275E8">
        <w:rPr>
          <w:rFonts w:ascii="Garamond" w:hAnsi="Garamond"/>
          <w:b/>
          <w:sz w:val="28"/>
          <w:szCs w:val="28"/>
        </w:rPr>
        <w:t>Course Description</w:t>
      </w:r>
    </w:p>
    <w:p w:rsidR="00222AB5" w:rsidRDefault="00DB1852" w:rsidP="00DB1852">
      <w:pPr>
        <w:spacing w:line="360" w:lineRule="auto"/>
        <w:jc w:val="both"/>
        <w:rPr>
          <w:rFonts w:ascii="Garamond" w:hAnsi="Garamond"/>
        </w:rPr>
      </w:pPr>
      <w:r>
        <w:rPr>
          <w:rFonts w:ascii="Garamond" w:hAnsi="Garamond"/>
        </w:rPr>
        <w:t>The course</w:t>
      </w:r>
      <w:r w:rsidR="00353035">
        <w:rPr>
          <w:rFonts w:ascii="Garamond" w:hAnsi="Garamond"/>
        </w:rPr>
        <w:t xml:space="preserve"> discusses the facts, theory and prospects of urbanization processes in developing countries. </w:t>
      </w:r>
      <w:r w:rsidR="00C93EC8">
        <w:rPr>
          <w:rFonts w:ascii="Garamond" w:hAnsi="Garamond"/>
        </w:rPr>
        <w:t>We</w:t>
      </w:r>
      <w:r w:rsidR="00353035">
        <w:rPr>
          <w:rFonts w:ascii="Garamond" w:hAnsi="Garamond"/>
        </w:rPr>
        <w:t xml:space="preserve"> emphasize the conceptual and empirical relationship between urbani</w:t>
      </w:r>
      <w:r w:rsidR="00C93EC8">
        <w:rPr>
          <w:rFonts w:ascii="Garamond" w:hAnsi="Garamond"/>
        </w:rPr>
        <w:t>zation and economic development on three analytical lines:</w:t>
      </w:r>
      <w:r w:rsidR="00487DD8">
        <w:rPr>
          <w:rFonts w:ascii="Garamond" w:hAnsi="Garamond"/>
        </w:rPr>
        <w:t xml:space="preserve"> historic, spatial and</w:t>
      </w:r>
      <w:r w:rsidR="00C93EC8">
        <w:rPr>
          <w:rFonts w:ascii="Garamond" w:hAnsi="Garamond"/>
        </w:rPr>
        <w:t xml:space="preserve"> economic. The course encourages </w:t>
      </w:r>
      <w:r w:rsidR="00CD101C">
        <w:rPr>
          <w:rFonts w:ascii="Garamond" w:hAnsi="Garamond"/>
        </w:rPr>
        <w:t xml:space="preserve">class </w:t>
      </w:r>
      <w:r w:rsidR="00C93EC8">
        <w:rPr>
          <w:rFonts w:ascii="Garamond" w:hAnsi="Garamond"/>
        </w:rPr>
        <w:t>participation by the students</w:t>
      </w:r>
      <w:r w:rsidR="00222AB5">
        <w:rPr>
          <w:rFonts w:ascii="Garamond" w:hAnsi="Garamond"/>
        </w:rPr>
        <w:t>, and it is strongly oriented to applied research.</w:t>
      </w:r>
    </w:p>
    <w:p w:rsidR="00C93EC8" w:rsidRDefault="00222AB5" w:rsidP="00DB1852">
      <w:pPr>
        <w:spacing w:line="360" w:lineRule="auto"/>
        <w:jc w:val="both"/>
        <w:rPr>
          <w:rFonts w:ascii="Garamond" w:hAnsi="Garamond"/>
        </w:rPr>
      </w:pPr>
      <w:r>
        <w:rPr>
          <w:rFonts w:ascii="Garamond" w:hAnsi="Garamond"/>
        </w:rPr>
        <w:t xml:space="preserve">We emphasize the search for conceptual </w:t>
      </w:r>
      <w:r w:rsidR="00C93EC8">
        <w:rPr>
          <w:rFonts w:ascii="Garamond" w:hAnsi="Garamond"/>
        </w:rPr>
        <w:t xml:space="preserve">explanations </w:t>
      </w:r>
      <w:r>
        <w:rPr>
          <w:rFonts w:ascii="Garamond" w:hAnsi="Garamond"/>
        </w:rPr>
        <w:t>to the proposed connections, and subsequently, debate policy options that can alleviate some of the problems. The general approach is divided into Area studies</w:t>
      </w:r>
      <w:r w:rsidR="00C93EC8">
        <w:rPr>
          <w:rFonts w:ascii="Garamond" w:hAnsi="Garamond"/>
        </w:rPr>
        <w:t>: allows us to highlight current challenges and opportunities of the urbanization process in six regions: Latin America, MENA (Middle East &amp; North Africa</w:t>
      </w:r>
      <w:r w:rsidR="00523D4A">
        <w:rPr>
          <w:rFonts w:ascii="Garamond" w:hAnsi="Garamond"/>
        </w:rPr>
        <w:t>)</w:t>
      </w:r>
      <w:r>
        <w:rPr>
          <w:rFonts w:ascii="Garamond" w:hAnsi="Garamond"/>
        </w:rPr>
        <w:t>, Sub-Saharan Africa, Sout</w:t>
      </w:r>
      <w:r w:rsidR="00523D4A">
        <w:rPr>
          <w:rFonts w:ascii="Garamond" w:hAnsi="Garamond"/>
        </w:rPr>
        <w:t>h Asia, and East Asia &amp; Pacific</w:t>
      </w:r>
      <w:r>
        <w:rPr>
          <w:rFonts w:ascii="Garamond" w:hAnsi="Garamond"/>
        </w:rPr>
        <w:t>.</w:t>
      </w:r>
      <w:r w:rsidR="00523D4A">
        <w:rPr>
          <w:rFonts w:ascii="Garamond" w:hAnsi="Garamond"/>
        </w:rPr>
        <w:t xml:space="preserve"> It is however tempting to analyze</w:t>
      </w:r>
      <w:r w:rsidR="00B568EA">
        <w:rPr>
          <w:rFonts w:ascii="Garamond" w:hAnsi="Garamond"/>
        </w:rPr>
        <w:t xml:space="preserve"> these societies as a continuum, including Eastern Europe, and finding conceptual and factual commonalities. The course challenges the student to try both approaches.</w:t>
      </w:r>
    </w:p>
    <w:p w:rsidR="00C93EC8" w:rsidRDefault="00C93EC8" w:rsidP="00DB1852">
      <w:pPr>
        <w:spacing w:line="360" w:lineRule="auto"/>
        <w:jc w:val="both"/>
        <w:rPr>
          <w:rFonts w:ascii="Garamond" w:hAnsi="Garamond"/>
        </w:rPr>
      </w:pPr>
    </w:p>
    <w:p w:rsidR="00DB1852" w:rsidRPr="00AB28A0" w:rsidRDefault="00DB1852" w:rsidP="00DB1852">
      <w:pPr>
        <w:spacing w:line="360" w:lineRule="auto"/>
        <w:jc w:val="both"/>
        <w:rPr>
          <w:rFonts w:ascii="Garamond" w:hAnsi="Garamond"/>
          <w:b/>
          <w:sz w:val="28"/>
        </w:rPr>
      </w:pPr>
      <w:r w:rsidRPr="00AB28A0">
        <w:rPr>
          <w:rFonts w:ascii="Garamond" w:hAnsi="Garamond"/>
          <w:b/>
          <w:sz w:val="28"/>
        </w:rPr>
        <w:t>Course Format</w:t>
      </w:r>
    </w:p>
    <w:p w:rsidR="00C42D84" w:rsidRDefault="00DB1852" w:rsidP="00DB1852">
      <w:pPr>
        <w:spacing w:line="360" w:lineRule="auto"/>
        <w:jc w:val="both"/>
        <w:rPr>
          <w:rFonts w:ascii="Garamond" w:hAnsi="Garamond"/>
        </w:rPr>
      </w:pPr>
      <w:r>
        <w:rPr>
          <w:rFonts w:ascii="Garamond" w:hAnsi="Garamond"/>
        </w:rPr>
        <w:t>The course incl</w:t>
      </w:r>
      <w:r w:rsidR="00C42D84">
        <w:rPr>
          <w:rFonts w:ascii="Garamond" w:hAnsi="Garamond"/>
        </w:rPr>
        <w:t xml:space="preserve">udes a combination of lectures and seminar-style discussions. In the first type of sessions, </w:t>
      </w:r>
      <w:r w:rsidR="00E07118">
        <w:rPr>
          <w:rFonts w:ascii="Garamond" w:hAnsi="Garamond"/>
        </w:rPr>
        <w:t>the instructor offers a general conceptual and factual background to the students</w:t>
      </w:r>
      <w:r w:rsidR="00C42D84">
        <w:rPr>
          <w:rFonts w:ascii="Garamond" w:hAnsi="Garamond"/>
        </w:rPr>
        <w:t>. In the second type of sessions, the students will present their advances of individual research projects. They will receive feedback from peers and the instructor as to the bibliography used, management of statistic information</w:t>
      </w:r>
      <w:r w:rsidR="00631DFF">
        <w:rPr>
          <w:rFonts w:ascii="Garamond" w:hAnsi="Garamond"/>
        </w:rPr>
        <w:t xml:space="preserve"> (if </w:t>
      </w:r>
      <w:r w:rsidR="00E07118">
        <w:rPr>
          <w:rFonts w:ascii="Garamond" w:hAnsi="Garamond"/>
        </w:rPr>
        <w:t>needed</w:t>
      </w:r>
      <w:r w:rsidR="00631DFF">
        <w:rPr>
          <w:rFonts w:ascii="Garamond" w:hAnsi="Garamond"/>
        </w:rPr>
        <w:t>)</w:t>
      </w:r>
      <w:r w:rsidR="00C42D84">
        <w:rPr>
          <w:rFonts w:ascii="Garamond" w:hAnsi="Garamond"/>
        </w:rPr>
        <w:t>, conceptual clarity</w:t>
      </w:r>
      <w:r w:rsidR="00732768">
        <w:rPr>
          <w:rFonts w:ascii="Garamond" w:hAnsi="Garamond"/>
        </w:rPr>
        <w:t>,</w:t>
      </w:r>
      <w:r w:rsidR="00C42D84">
        <w:rPr>
          <w:rFonts w:ascii="Garamond" w:hAnsi="Garamond"/>
        </w:rPr>
        <w:t xml:space="preserve"> and research direction. The research projects will be delivered as final papers for the class.</w:t>
      </w:r>
    </w:p>
    <w:p w:rsidR="00C42D84" w:rsidRDefault="00C42D84" w:rsidP="00DB1852">
      <w:pPr>
        <w:spacing w:line="360" w:lineRule="auto"/>
        <w:jc w:val="both"/>
        <w:rPr>
          <w:rFonts w:ascii="Garamond" w:hAnsi="Garamond"/>
        </w:rPr>
      </w:pPr>
    </w:p>
    <w:p w:rsidR="001955FD" w:rsidRPr="00AB28A0" w:rsidRDefault="001955FD" w:rsidP="001955FD">
      <w:pPr>
        <w:spacing w:line="360" w:lineRule="auto"/>
        <w:jc w:val="both"/>
        <w:rPr>
          <w:rFonts w:ascii="Garamond" w:hAnsi="Garamond"/>
          <w:b/>
          <w:sz w:val="28"/>
        </w:rPr>
      </w:pPr>
      <w:r>
        <w:rPr>
          <w:rFonts w:ascii="Garamond" w:hAnsi="Garamond"/>
          <w:b/>
          <w:sz w:val="28"/>
        </w:rPr>
        <w:t>Target Audience</w:t>
      </w:r>
    </w:p>
    <w:p w:rsidR="001955FD" w:rsidRDefault="001955FD" w:rsidP="00E07118">
      <w:pPr>
        <w:spacing w:line="360" w:lineRule="auto"/>
        <w:jc w:val="both"/>
        <w:rPr>
          <w:rFonts w:ascii="Garamond" w:hAnsi="Garamond"/>
        </w:rPr>
      </w:pPr>
      <w:r>
        <w:rPr>
          <w:rFonts w:ascii="Garamond" w:hAnsi="Garamond"/>
        </w:rPr>
        <w:t xml:space="preserve">This course </w:t>
      </w:r>
      <w:r w:rsidR="00E07118">
        <w:rPr>
          <w:rFonts w:ascii="Garamond" w:hAnsi="Garamond"/>
        </w:rPr>
        <w:t>has been</w:t>
      </w:r>
      <w:r w:rsidR="00C71A1F">
        <w:rPr>
          <w:rFonts w:ascii="Garamond" w:hAnsi="Garamond"/>
        </w:rPr>
        <w:t xml:space="preserve"> designed for</w:t>
      </w:r>
      <w:r>
        <w:rPr>
          <w:rFonts w:ascii="Garamond" w:hAnsi="Garamond"/>
        </w:rPr>
        <w:t xml:space="preserve"> </w:t>
      </w:r>
      <w:r w:rsidR="00C71A1F">
        <w:rPr>
          <w:rFonts w:ascii="Garamond" w:hAnsi="Garamond"/>
        </w:rPr>
        <w:t xml:space="preserve">graduate students in City &amp; Regional Planning and in Public Policy, who have an analytical background, appropriate for a research-oriented course. </w:t>
      </w:r>
      <w:r w:rsidR="00E07118">
        <w:rPr>
          <w:rFonts w:ascii="Garamond" w:hAnsi="Garamond"/>
        </w:rPr>
        <w:t xml:space="preserve">It can also be </w:t>
      </w:r>
      <w:r w:rsidR="00E07118">
        <w:rPr>
          <w:rFonts w:ascii="Garamond" w:hAnsi="Garamond"/>
        </w:rPr>
        <w:lastRenderedPageBreak/>
        <w:t xml:space="preserve">useful for </w:t>
      </w:r>
      <w:r w:rsidR="00C71A1F">
        <w:rPr>
          <w:rFonts w:ascii="Garamond" w:hAnsi="Garamond"/>
        </w:rPr>
        <w:t>U</w:t>
      </w:r>
      <w:r>
        <w:rPr>
          <w:rFonts w:ascii="Garamond" w:hAnsi="Garamond"/>
        </w:rPr>
        <w:t>ndergraduate students in the Liberal Arts, Design, and Business</w:t>
      </w:r>
      <w:r w:rsidR="005C7642">
        <w:rPr>
          <w:rFonts w:ascii="Garamond" w:hAnsi="Garamond"/>
        </w:rPr>
        <w:t>,</w:t>
      </w:r>
      <w:r w:rsidR="00E07118">
        <w:rPr>
          <w:rFonts w:ascii="Garamond" w:hAnsi="Garamond"/>
        </w:rPr>
        <w:t xml:space="preserve"> who are</w:t>
      </w:r>
      <w:r w:rsidR="005C7642">
        <w:rPr>
          <w:rFonts w:ascii="Garamond" w:hAnsi="Garamond"/>
        </w:rPr>
        <w:t xml:space="preserve"> interested in </w:t>
      </w:r>
      <w:r w:rsidR="00E07118">
        <w:rPr>
          <w:rFonts w:ascii="Garamond" w:hAnsi="Garamond"/>
        </w:rPr>
        <w:t>D</w:t>
      </w:r>
      <w:r w:rsidR="005C7642">
        <w:rPr>
          <w:rFonts w:ascii="Garamond" w:hAnsi="Garamond"/>
        </w:rPr>
        <w:t xml:space="preserve">evelopment </w:t>
      </w:r>
      <w:r w:rsidR="00E07118">
        <w:rPr>
          <w:rFonts w:ascii="Garamond" w:hAnsi="Garamond"/>
        </w:rPr>
        <w:t>P</w:t>
      </w:r>
      <w:r w:rsidR="005C7642">
        <w:rPr>
          <w:rFonts w:ascii="Garamond" w:hAnsi="Garamond"/>
        </w:rPr>
        <w:t xml:space="preserve">roblems and </w:t>
      </w:r>
      <w:r w:rsidR="00E07118">
        <w:rPr>
          <w:rFonts w:ascii="Garamond" w:hAnsi="Garamond"/>
        </w:rPr>
        <w:t>U</w:t>
      </w:r>
      <w:r w:rsidR="005C7642">
        <w:rPr>
          <w:rFonts w:ascii="Garamond" w:hAnsi="Garamond"/>
        </w:rPr>
        <w:t xml:space="preserve">rban </w:t>
      </w:r>
      <w:r w:rsidR="00E07118">
        <w:rPr>
          <w:rFonts w:ascii="Garamond" w:hAnsi="Garamond"/>
        </w:rPr>
        <w:t>S</w:t>
      </w:r>
      <w:r w:rsidR="00C71A1F">
        <w:rPr>
          <w:rFonts w:ascii="Garamond" w:hAnsi="Garamond"/>
        </w:rPr>
        <w:t xml:space="preserve">tudies. </w:t>
      </w:r>
      <w:r w:rsidR="00354312">
        <w:rPr>
          <w:rFonts w:ascii="Garamond" w:hAnsi="Garamond"/>
        </w:rPr>
        <w:t xml:space="preserve">The course does not have pre-requisites, </w:t>
      </w:r>
      <w:r w:rsidR="00E07118">
        <w:rPr>
          <w:rFonts w:ascii="Garamond" w:hAnsi="Garamond"/>
        </w:rPr>
        <w:t>but a c</w:t>
      </w:r>
      <w:r w:rsidR="00354312">
        <w:rPr>
          <w:rFonts w:ascii="Garamond" w:hAnsi="Garamond"/>
        </w:rPr>
        <w:t xml:space="preserve">ertain degree of familiarity with </w:t>
      </w:r>
      <w:r w:rsidR="00C71A1F">
        <w:rPr>
          <w:rFonts w:ascii="Garamond" w:hAnsi="Garamond"/>
        </w:rPr>
        <w:t>geography, history and</w:t>
      </w:r>
      <w:r w:rsidR="00E07118">
        <w:rPr>
          <w:rFonts w:ascii="Garamond" w:hAnsi="Garamond"/>
        </w:rPr>
        <w:t xml:space="preserve"> economics is recommended.</w:t>
      </w:r>
    </w:p>
    <w:p w:rsidR="00E07118" w:rsidRPr="008B3CE9" w:rsidRDefault="00E07118" w:rsidP="00DB1852">
      <w:pPr>
        <w:spacing w:line="360" w:lineRule="auto"/>
        <w:jc w:val="both"/>
        <w:rPr>
          <w:rFonts w:ascii="Garamond" w:hAnsi="Garamond"/>
        </w:rPr>
      </w:pPr>
    </w:p>
    <w:p w:rsidR="00DB1852" w:rsidRPr="00AB28A0" w:rsidRDefault="00DB1852" w:rsidP="00DB1852">
      <w:pPr>
        <w:spacing w:line="360" w:lineRule="auto"/>
        <w:jc w:val="both"/>
        <w:rPr>
          <w:rFonts w:ascii="Garamond" w:hAnsi="Garamond"/>
          <w:b/>
          <w:sz w:val="28"/>
        </w:rPr>
      </w:pPr>
      <w:r w:rsidRPr="00AB28A0">
        <w:rPr>
          <w:rFonts w:ascii="Garamond" w:hAnsi="Garamond"/>
          <w:b/>
          <w:sz w:val="28"/>
        </w:rPr>
        <w:t>Student Learning Objectives</w:t>
      </w:r>
    </w:p>
    <w:p w:rsidR="00DB1852" w:rsidRPr="004C4ED3" w:rsidRDefault="00C42D84" w:rsidP="00DB1852">
      <w:pPr>
        <w:pStyle w:val="ListParagraph"/>
        <w:numPr>
          <w:ilvl w:val="0"/>
          <w:numId w:val="2"/>
        </w:numPr>
        <w:spacing w:after="0" w:line="360" w:lineRule="auto"/>
        <w:jc w:val="both"/>
        <w:rPr>
          <w:rFonts w:ascii="Garamond" w:hAnsi="Garamond"/>
          <w:sz w:val="24"/>
          <w:szCs w:val="24"/>
        </w:rPr>
      </w:pPr>
      <w:r w:rsidRPr="004C4ED3">
        <w:rPr>
          <w:rFonts w:ascii="Garamond" w:hAnsi="Garamond"/>
          <w:sz w:val="24"/>
          <w:szCs w:val="24"/>
        </w:rPr>
        <w:t>Understand</w:t>
      </w:r>
      <w:r w:rsidR="00312C83" w:rsidRPr="004C4ED3">
        <w:rPr>
          <w:rFonts w:ascii="Garamond" w:hAnsi="Garamond"/>
          <w:sz w:val="24"/>
          <w:szCs w:val="24"/>
        </w:rPr>
        <w:t xml:space="preserve"> some of the</w:t>
      </w:r>
      <w:r w:rsidRPr="004C4ED3">
        <w:rPr>
          <w:rFonts w:ascii="Garamond" w:hAnsi="Garamond"/>
          <w:sz w:val="24"/>
          <w:szCs w:val="24"/>
        </w:rPr>
        <w:t xml:space="preserve"> historically and economically </w:t>
      </w:r>
      <w:r w:rsidR="00B254DD" w:rsidRPr="004C4ED3">
        <w:rPr>
          <w:rFonts w:ascii="Garamond" w:hAnsi="Garamond"/>
          <w:sz w:val="24"/>
          <w:szCs w:val="24"/>
        </w:rPr>
        <w:t>based</w:t>
      </w:r>
      <w:r w:rsidRPr="004C4ED3">
        <w:rPr>
          <w:rFonts w:ascii="Garamond" w:hAnsi="Garamond"/>
          <w:sz w:val="24"/>
          <w:szCs w:val="24"/>
        </w:rPr>
        <w:t xml:space="preserve"> explanations of current </w:t>
      </w:r>
      <w:r w:rsidR="00B568EA">
        <w:rPr>
          <w:rFonts w:ascii="Garamond" w:hAnsi="Garamond"/>
          <w:sz w:val="24"/>
          <w:szCs w:val="24"/>
        </w:rPr>
        <w:t>urban/regional</w:t>
      </w:r>
      <w:r w:rsidRPr="004C4ED3">
        <w:rPr>
          <w:rFonts w:ascii="Garamond" w:hAnsi="Garamond"/>
          <w:sz w:val="24"/>
          <w:szCs w:val="24"/>
        </w:rPr>
        <w:t xml:space="preserve"> problems</w:t>
      </w:r>
      <w:r w:rsidR="00B254DD" w:rsidRPr="004C4ED3">
        <w:rPr>
          <w:rFonts w:ascii="Garamond" w:hAnsi="Garamond"/>
          <w:sz w:val="24"/>
          <w:szCs w:val="24"/>
        </w:rPr>
        <w:t xml:space="preserve"> in developing countries</w:t>
      </w:r>
    </w:p>
    <w:p w:rsidR="00DB1852" w:rsidRDefault="004C4ED3" w:rsidP="00DB1852">
      <w:pPr>
        <w:pStyle w:val="ListParagraph"/>
        <w:numPr>
          <w:ilvl w:val="0"/>
          <w:numId w:val="2"/>
        </w:numPr>
        <w:spacing w:after="0" w:line="360" w:lineRule="auto"/>
        <w:jc w:val="both"/>
        <w:rPr>
          <w:rFonts w:ascii="Garamond" w:hAnsi="Garamond"/>
          <w:sz w:val="24"/>
          <w:szCs w:val="24"/>
        </w:rPr>
      </w:pPr>
      <w:r>
        <w:rPr>
          <w:rFonts w:ascii="Garamond" w:hAnsi="Garamond"/>
          <w:sz w:val="24"/>
          <w:szCs w:val="24"/>
        </w:rPr>
        <w:t>Create</w:t>
      </w:r>
      <w:r w:rsidR="00C71A1F">
        <w:rPr>
          <w:rFonts w:ascii="Garamond" w:hAnsi="Garamond"/>
          <w:sz w:val="24"/>
          <w:szCs w:val="24"/>
        </w:rPr>
        <w:t xml:space="preserve"> a</w:t>
      </w:r>
      <w:r>
        <w:rPr>
          <w:rFonts w:ascii="Garamond" w:hAnsi="Garamond"/>
          <w:sz w:val="24"/>
          <w:szCs w:val="24"/>
        </w:rPr>
        <w:t xml:space="preserve"> taxonomy of </w:t>
      </w:r>
      <w:r w:rsidR="00C42D84">
        <w:rPr>
          <w:rFonts w:ascii="Garamond" w:hAnsi="Garamond"/>
          <w:sz w:val="24"/>
          <w:szCs w:val="24"/>
        </w:rPr>
        <w:t>spatial particularities of developing countries</w:t>
      </w:r>
      <w:r w:rsidR="00B254DD">
        <w:rPr>
          <w:rFonts w:ascii="Garamond" w:hAnsi="Garamond"/>
          <w:sz w:val="24"/>
          <w:szCs w:val="24"/>
        </w:rPr>
        <w:t>’</w:t>
      </w:r>
      <w:r w:rsidR="00C42D84">
        <w:rPr>
          <w:rFonts w:ascii="Garamond" w:hAnsi="Garamond"/>
          <w:sz w:val="24"/>
          <w:szCs w:val="24"/>
        </w:rPr>
        <w:t xml:space="preserve"> cities</w:t>
      </w:r>
      <w:r>
        <w:rPr>
          <w:rFonts w:ascii="Garamond" w:hAnsi="Garamond"/>
          <w:sz w:val="24"/>
          <w:szCs w:val="24"/>
        </w:rPr>
        <w:t>, and their role in the more general development process</w:t>
      </w:r>
      <w:r w:rsidR="00C71A1F">
        <w:rPr>
          <w:rFonts w:ascii="Garamond" w:hAnsi="Garamond"/>
          <w:sz w:val="24"/>
          <w:szCs w:val="24"/>
        </w:rPr>
        <w:t>es</w:t>
      </w:r>
      <w:r>
        <w:rPr>
          <w:rFonts w:ascii="Garamond" w:hAnsi="Garamond"/>
          <w:sz w:val="24"/>
          <w:szCs w:val="24"/>
        </w:rPr>
        <w:t>.</w:t>
      </w:r>
    </w:p>
    <w:p w:rsidR="00DB1852" w:rsidRDefault="00B254DD" w:rsidP="00DB1852">
      <w:pPr>
        <w:pStyle w:val="ListParagraph"/>
        <w:numPr>
          <w:ilvl w:val="0"/>
          <w:numId w:val="2"/>
        </w:numPr>
        <w:spacing w:after="0" w:line="360" w:lineRule="auto"/>
        <w:jc w:val="both"/>
        <w:rPr>
          <w:rFonts w:ascii="Garamond" w:hAnsi="Garamond"/>
          <w:sz w:val="24"/>
          <w:szCs w:val="24"/>
        </w:rPr>
      </w:pPr>
      <w:r>
        <w:rPr>
          <w:rFonts w:ascii="Garamond" w:hAnsi="Garamond"/>
          <w:sz w:val="24"/>
          <w:szCs w:val="24"/>
        </w:rPr>
        <w:t>Debate the policy options to address current urbanization challenges in developing countries</w:t>
      </w:r>
    </w:p>
    <w:p w:rsidR="00DB1852" w:rsidRDefault="00B254DD" w:rsidP="00DB1852">
      <w:pPr>
        <w:pStyle w:val="ListParagraph"/>
        <w:numPr>
          <w:ilvl w:val="0"/>
          <w:numId w:val="2"/>
        </w:numPr>
        <w:spacing w:after="0" w:line="360" w:lineRule="auto"/>
        <w:jc w:val="both"/>
        <w:rPr>
          <w:rFonts w:ascii="Garamond" w:hAnsi="Garamond"/>
          <w:sz w:val="24"/>
          <w:szCs w:val="24"/>
        </w:rPr>
      </w:pPr>
      <w:r>
        <w:rPr>
          <w:rFonts w:ascii="Garamond" w:hAnsi="Garamond"/>
          <w:sz w:val="24"/>
          <w:szCs w:val="24"/>
        </w:rPr>
        <w:t>Understand spatial, historical and economic particularities of the different developing countries’ regions.</w:t>
      </w:r>
    </w:p>
    <w:p w:rsidR="00DB1852" w:rsidRDefault="00DB1852" w:rsidP="00DB1852">
      <w:pPr>
        <w:spacing w:line="360" w:lineRule="auto"/>
        <w:rPr>
          <w:rFonts w:ascii="Garamond" w:hAnsi="Garamond"/>
          <w:b/>
        </w:rPr>
      </w:pPr>
    </w:p>
    <w:p w:rsidR="00DB1852" w:rsidRPr="00AB28A0" w:rsidRDefault="00DB1852" w:rsidP="00DB1852">
      <w:pPr>
        <w:spacing w:line="360" w:lineRule="auto"/>
        <w:rPr>
          <w:rFonts w:ascii="Garamond" w:hAnsi="Garamond"/>
          <w:b/>
          <w:sz w:val="28"/>
        </w:rPr>
      </w:pPr>
      <w:r w:rsidRPr="00AB28A0">
        <w:rPr>
          <w:rFonts w:ascii="Garamond" w:hAnsi="Garamond"/>
          <w:b/>
          <w:sz w:val="28"/>
        </w:rPr>
        <w:t>Grading and Evaluation</w:t>
      </w:r>
    </w:p>
    <w:tbl>
      <w:tblPr>
        <w:tblStyle w:val="TableGrid"/>
        <w:tblW w:w="5663"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475"/>
        <w:gridCol w:w="1214"/>
        <w:gridCol w:w="974"/>
      </w:tblGrid>
      <w:tr w:rsidR="00B254DD" w:rsidRPr="008B3CE9" w:rsidTr="00B254DD">
        <w:trPr>
          <w:jc w:val="center"/>
        </w:trPr>
        <w:tc>
          <w:tcPr>
            <w:tcW w:w="3475" w:type="dxa"/>
            <w:tcBorders>
              <w:top w:val="single" w:sz="12" w:space="0" w:color="auto"/>
              <w:bottom w:val="single" w:sz="12" w:space="0" w:color="auto"/>
              <w:right w:val="single" w:sz="4" w:space="0" w:color="auto"/>
            </w:tcBorders>
          </w:tcPr>
          <w:p w:rsidR="00B254DD" w:rsidRPr="008B3CE9" w:rsidRDefault="00B254DD" w:rsidP="009E5191">
            <w:pPr>
              <w:jc w:val="center"/>
              <w:rPr>
                <w:rFonts w:ascii="Garamond" w:hAnsi="Garamond"/>
              </w:rPr>
            </w:pPr>
            <w:r>
              <w:rPr>
                <w:rFonts w:ascii="Garamond" w:hAnsi="Garamond"/>
              </w:rPr>
              <w:t>Activity</w:t>
            </w:r>
          </w:p>
        </w:tc>
        <w:tc>
          <w:tcPr>
            <w:tcW w:w="1214" w:type="dxa"/>
            <w:tcBorders>
              <w:top w:val="single" w:sz="12" w:space="0" w:color="auto"/>
              <w:left w:val="single" w:sz="4" w:space="0" w:color="auto"/>
              <w:bottom w:val="single" w:sz="12" w:space="0" w:color="auto"/>
              <w:right w:val="single" w:sz="4" w:space="0" w:color="auto"/>
            </w:tcBorders>
          </w:tcPr>
          <w:p w:rsidR="00B254DD" w:rsidRDefault="00B254DD" w:rsidP="009E5191">
            <w:pPr>
              <w:jc w:val="center"/>
              <w:rPr>
                <w:rFonts w:ascii="Garamond" w:hAnsi="Garamond"/>
              </w:rPr>
            </w:pPr>
            <w:r>
              <w:rPr>
                <w:rFonts w:ascii="Garamond" w:hAnsi="Garamond"/>
              </w:rPr>
              <w:t>Deadline</w:t>
            </w:r>
          </w:p>
        </w:tc>
        <w:tc>
          <w:tcPr>
            <w:tcW w:w="974" w:type="dxa"/>
            <w:tcBorders>
              <w:top w:val="single" w:sz="12" w:space="0" w:color="auto"/>
              <w:left w:val="single" w:sz="4" w:space="0" w:color="auto"/>
              <w:bottom w:val="single" w:sz="12" w:space="0" w:color="auto"/>
            </w:tcBorders>
          </w:tcPr>
          <w:p w:rsidR="00B254DD" w:rsidRDefault="00B254DD" w:rsidP="009E5191">
            <w:pPr>
              <w:jc w:val="center"/>
              <w:rPr>
                <w:rFonts w:ascii="Garamond" w:hAnsi="Garamond"/>
              </w:rPr>
            </w:pPr>
            <w:r>
              <w:rPr>
                <w:rFonts w:ascii="Garamond" w:hAnsi="Garamond"/>
              </w:rPr>
              <w:t>%</w:t>
            </w:r>
          </w:p>
        </w:tc>
      </w:tr>
      <w:tr w:rsidR="00B254DD" w:rsidRPr="008B3CE9" w:rsidTr="00B254DD">
        <w:trPr>
          <w:jc w:val="center"/>
        </w:trPr>
        <w:tc>
          <w:tcPr>
            <w:tcW w:w="3475" w:type="dxa"/>
            <w:tcBorders>
              <w:top w:val="single" w:sz="12" w:space="0" w:color="auto"/>
              <w:bottom w:val="single" w:sz="4" w:space="0" w:color="auto"/>
              <w:right w:val="single" w:sz="4" w:space="0" w:color="auto"/>
            </w:tcBorders>
          </w:tcPr>
          <w:p w:rsidR="00B254DD" w:rsidRPr="00FF074B" w:rsidRDefault="00B254DD" w:rsidP="009E5191">
            <w:pPr>
              <w:rPr>
                <w:rFonts w:ascii="Garamond" w:hAnsi="Garamond"/>
              </w:rPr>
            </w:pPr>
            <w:r>
              <w:rPr>
                <w:rFonts w:ascii="Garamond" w:hAnsi="Garamond"/>
              </w:rPr>
              <w:t>1</w:t>
            </w:r>
            <w:r w:rsidRPr="00B254DD">
              <w:rPr>
                <w:rFonts w:ascii="Garamond" w:hAnsi="Garamond"/>
                <w:vertAlign w:val="superscript"/>
              </w:rPr>
              <w:t>st</w:t>
            </w:r>
            <w:r>
              <w:rPr>
                <w:rFonts w:ascii="Garamond" w:hAnsi="Garamond"/>
              </w:rPr>
              <w:t xml:space="preserve"> Research Project Presentation*</w:t>
            </w:r>
          </w:p>
        </w:tc>
        <w:tc>
          <w:tcPr>
            <w:tcW w:w="1214" w:type="dxa"/>
            <w:tcBorders>
              <w:top w:val="single" w:sz="12" w:space="0" w:color="auto"/>
              <w:left w:val="single" w:sz="4" w:space="0" w:color="auto"/>
              <w:bottom w:val="single" w:sz="4" w:space="0" w:color="auto"/>
              <w:right w:val="single" w:sz="4" w:space="0" w:color="auto"/>
            </w:tcBorders>
          </w:tcPr>
          <w:p w:rsidR="00B254DD" w:rsidRDefault="00B254DD" w:rsidP="009E5191">
            <w:pPr>
              <w:rPr>
                <w:rFonts w:ascii="Garamond" w:hAnsi="Garamond"/>
              </w:rPr>
            </w:pPr>
          </w:p>
        </w:tc>
        <w:tc>
          <w:tcPr>
            <w:tcW w:w="974" w:type="dxa"/>
            <w:tcBorders>
              <w:top w:val="single" w:sz="12" w:space="0" w:color="auto"/>
              <w:left w:val="single" w:sz="4" w:space="0" w:color="auto"/>
              <w:bottom w:val="single" w:sz="4" w:space="0" w:color="auto"/>
            </w:tcBorders>
            <w:vAlign w:val="center"/>
          </w:tcPr>
          <w:p w:rsidR="00B254DD" w:rsidRDefault="00B254DD" w:rsidP="009E5191">
            <w:pPr>
              <w:jc w:val="center"/>
              <w:rPr>
                <w:rFonts w:ascii="Garamond" w:hAnsi="Garamond"/>
              </w:rPr>
            </w:pPr>
            <w:r>
              <w:rPr>
                <w:rFonts w:ascii="Garamond" w:hAnsi="Garamond"/>
              </w:rPr>
              <w:t>25</w:t>
            </w:r>
          </w:p>
        </w:tc>
      </w:tr>
      <w:tr w:rsidR="00B254DD" w:rsidRPr="008B3CE9" w:rsidTr="00B254DD">
        <w:trPr>
          <w:jc w:val="center"/>
        </w:trPr>
        <w:tc>
          <w:tcPr>
            <w:tcW w:w="3475" w:type="dxa"/>
            <w:tcBorders>
              <w:top w:val="single" w:sz="4" w:space="0" w:color="auto"/>
              <w:bottom w:val="single" w:sz="4" w:space="0" w:color="auto"/>
              <w:right w:val="single" w:sz="4" w:space="0" w:color="auto"/>
            </w:tcBorders>
          </w:tcPr>
          <w:p w:rsidR="00B254DD" w:rsidRPr="008B3CE9" w:rsidRDefault="00B254DD" w:rsidP="009E5191">
            <w:pPr>
              <w:rPr>
                <w:rFonts w:ascii="Garamond" w:hAnsi="Garamond"/>
              </w:rPr>
            </w:pPr>
            <w:r>
              <w:rPr>
                <w:rFonts w:ascii="Garamond" w:hAnsi="Garamond"/>
              </w:rPr>
              <w:t>2</w:t>
            </w:r>
            <w:r w:rsidRPr="00B254DD">
              <w:rPr>
                <w:rFonts w:ascii="Garamond" w:hAnsi="Garamond"/>
                <w:vertAlign w:val="superscript"/>
              </w:rPr>
              <w:t>nd</w:t>
            </w:r>
            <w:r>
              <w:rPr>
                <w:rFonts w:ascii="Garamond" w:hAnsi="Garamond"/>
              </w:rPr>
              <w:t xml:space="preserve"> Research Project Presentation*</w:t>
            </w:r>
          </w:p>
        </w:tc>
        <w:tc>
          <w:tcPr>
            <w:tcW w:w="1214" w:type="dxa"/>
            <w:tcBorders>
              <w:top w:val="single" w:sz="4" w:space="0" w:color="auto"/>
              <w:left w:val="single" w:sz="4" w:space="0" w:color="auto"/>
              <w:bottom w:val="single" w:sz="4" w:space="0" w:color="auto"/>
              <w:right w:val="single" w:sz="4" w:space="0" w:color="auto"/>
            </w:tcBorders>
          </w:tcPr>
          <w:p w:rsidR="00B254DD" w:rsidRDefault="00B254DD" w:rsidP="009E5191">
            <w:pPr>
              <w:rPr>
                <w:rFonts w:ascii="Garamond" w:hAnsi="Garamond"/>
              </w:rPr>
            </w:pPr>
          </w:p>
        </w:tc>
        <w:tc>
          <w:tcPr>
            <w:tcW w:w="974" w:type="dxa"/>
            <w:tcBorders>
              <w:top w:val="single" w:sz="4" w:space="0" w:color="auto"/>
              <w:left w:val="single" w:sz="4" w:space="0" w:color="auto"/>
              <w:bottom w:val="single" w:sz="4" w:space="0" w:color="auto"/>
            </w:tcBorders>
            <w:vAlign w:val="center"/>
          </w:tcPr>
          <w:p w:rsidR="00B254DD" w:rsidRDefault="00B254DD" w:rsidP="009E5191">
            <w:pPr>
              <w:jc w:val="center"/>
              <w:rPr>
                <w:rFonts w:ascii="Garamond" w:hAnsi="Garamond"/>
              </w:rPr>
            </w:pPr>
            <w:r>
              <w:rPr>
                <w:rFonts w:ascii="Garamond" w:hAnsi="Garamond"/>
              </w:rPr>
              <w:t>25</w:t>
            </w:r>
          </w:p>
        </w:tc>
      </w:tr>
      <w:tr w:rsidR="00B254DD" w:rsidRPr="00B254DD" w:rsidTr="00B254DD">
        <w:trPr>
          <w:jc w:val="center"/>
        </w:trPr>
        <w:tc>
          <w:tcPr>
            <w:tcW w:w="3475" w:type="dxa"/>
            <w:tcBorders>
              <w:top w:val="single" w:sz="4" w:space="0" w:color="auto"/>
              <w:bottom w:val="nil"/>
              <w:right w:val="single" w:sz="4" w:space="0" w:color="auto"/>
            </w:tcBorders>
          </w:tcPr>
          <w:p w:rsidR="00B254DD" w:rsidRPr="00B254DD" w:rsidRDefault="007D196E" w:rsidP="009E5191">
            <w:pPr>
              <w:rPr>
                <w:rFonts w:ascii="Garamond" w:hAnsi="Garamond"/>
              </w:rPr>
            </w:pPr>
            <w:r>
              <w:rPr>
                <w:rFonts w:ascii="Garamond" w:hAnsi="Garamond"/>
              </w:rPr>
              <w:t>(</w:t>
            </w:r>
            <w:r w:rsidR="00B254DD">
              <w:rPr>
                <w:rFonts w:ascii="Garamond" w:hAnsi="Garamond"/>
              </w:rPr>
              <w:t>Informed</w:t>
            </w:r>
            <w:r>
              <w:rPr>
                <w:rFonts w:ascii="Garamond" w:hAnsi="Garamond"/>
              </w:rPr>
              <w:t>)</w:t>
            </w:r>
            <w:r w:rsidR="00B254DD">
              <w:rPr>
                <w:rFonts w:ascii="Garamond" w:hAnsi="Garamond"/>
              </w:rPr>
              <w:t xml:space="preserve"> </w:t>
            </w:r>
            <w:r w:rsidR="00B254DD" w:rsidRPr="00B254DD">
              <w:rPr>
                <w:rFonts w:ascii="Garamond" w:hAnsi="Garamond"/>
              </w:rPr>
              <w:t>Participation in Class</w:t>
            </w:r>
          </w:p>
        </w:tc>
        <w:tc>
          <w:tcPr>
            <w:tcW w:w="1214" w:type="dxa"/>
            <w:tcBorders>
              <w:top w:val="single" w:sz="4" w:space="0" w:color="auto"/>
              <w:left w:val="single" w:sz="4" w:space="0" w:color="auto"/>
              <w:bottom w:val="nil"/>
              <w:right w:val="single" w:sz="4" w:space="0" w:color="auto"/>
            </w:tcBorders>
          </w:tcPr>
          <w:p w:rsidR="00B254DD" w:rsidRPr="00B254DD" w:rsidRDefault="00B254DD" w:rsidP="009E5191">
            <w:pPr>
              <w:rPr>
                <w:rFonts w:ascii="Garamond" w:hAnsi="Garamond"/>
              </w:rPr>
            </w:pPr>
          </w:p>
        </w:tc>
        <w:tc>
          <w:tcPr>
            <w:tcW w:w="974" w:type="dxa"/>
            <w:tcBorders>
              <w:top w:val="single" w:sz="4" w:space="0" w:color="auto"/>
              <w:left w:val="single" w:sz="4" w:space="0" w:color="auto"/>
              <w:bottom w:val="nil"/>
            </w:tcBorders>
            <w:vAlign w:val="center"/>
          </w:tcPr>
          <w:p w:rsidR="00B254DD" w:rsidRPr="00B254DD" w:rsidRDefault="00B254DD" w:rsidP="009E5191">
            <w:pPr>
              <w:jc w:val="center"/>
              <w:rPr>
                <w:rFonts w:ascii="Garamond" w:hAnsi="Garamond"/>
              </w:rPr>
            </w:pPr>
            <w:r>
              <w:rPr>
                <w:rFonts w:ascii="Garamond" w:hAnsi="Garamond"/>
              </w:rPr>
              <w:t>20</w:t>
            </w:r>
          </w:p>
        </w:tc>
      </w:tr>
      <w:tr w:rsidR="00B254DD" w:rsidRPr="008B3CE9" w:rsidTr="00B254DD">
        <w:trPr>
          <w:jc w:val="center"/>
        </w:trPr>
        <w:tc>
          <w:tcPr>
            <w:tcW w:w="3475" w:type="dxa"/>
            <w:tcBorders>
              <w:top w:val="single" w:sz="4" w:space="0" w:color="auto"/>
              <w:right w:val="single" w:sz="4" w:space="0" w:color="auto"/>
            </w:tcBorders>
          </w:tcPr>
          <w:p w:rsidR="00B254DD" w:rsidRPr="008B3CE9" w:rsidRDefault="00B254DD" w:rsidP="009E5191">
            <w:pPr>
              <w:rPr>
                <w:rFonts w:ascii="Garamond" w:hAnsi="Garamond"/>
              </w:rPr>
            </w:pPr>
            <w:r>
              <w:rPr>
                <w:rFonts w:ascii="Garamond" w:hAnsi="Garamond"/>
              </w:rPr>
              <w:t>Research Paper*</w:t>
            </w:r>
          </w:p>
        </w:tc>
        <w:tc>
          <w:tcPr>
            <w:tcW w:w="1214" w:type="dxa"/>
            <w:tcBorders>
              <w:top w:val="single" w:sz="4" w:space="0" w:color="auto"/>
              <w:left w:val="single" w:sz="4" w:space="0" w:color="auto"/>
              <w:right w:val="single" w:sz="4" w:space="0" w:color="auto"/>
            </w:tcBorders>
          </w:tcPr>
          <w:p w:rsidR="00B254DD" w:rsidRDefault="00B254DD" w:rsidP="009E5191">
            <w:pPr>
              <w:rPr>
                <w:rFonts w:ascii="Garamond" w:hAnsi="Garamond"/>
              </w:rPr>
            </w:pPr>
          </w:p>
        </w:tc>
        <w:tc>
          <w:tcPr>
            <w:tcW w:w="974" w:type="dxa"/>
            <w:tcBorders>
              <w:top w:val="single" w:sz="4" w:space="0" w:color="auto"/>
              <w:left w:val="single" w:sz="4" w:space="0" w:color="auto"/>
            </w:tcBorders>
            <w:vAlign w:val="center"/>
          </w:tcPr>
          <w:p w:rsidR="00B254DD" w:rsidRDefault="00B254DD" w:rsidP="009E5191">
            <w:pPr>
              <w:jc w:val="center"/>
              <w:rPr>
                <w:rFonts w:ascii="Garamond" w:hAnsi="Garamond"/>
              </w:rPr>
            </w:pPr>
            <w:r>
              <w:rPr>
                <w:rFonts w:ascii="Garamond" w:hAnsi="Garamond"/>
              </w:rPr>
              <w:t>30</w:t>
            </w:r>
          </w:p>
        </w:tc>
      </w:tr>
    </w:tbl>
    <w:p w:rsidR="00DB1852" w:rsidRPr="00F32859" w:rsidRDefault="00DB1852" w:rsidP="00B254DD">
      <w:pPr>
        <w:spacing w:line="360" w:lineRule="auto"/>
        <w:jc w:val="center"/>
        <w:rPr>
          <w:rFonts w:ascii="Garamond" w:hAnsi="Garamond"/>
        </w:rPr>
      </w:pPr>
      <w:r w:rsidRPr="00F32859">
        <w:rPr>
          <w:rFonts w:ascii="Garamond" w:hAnsi="Garamond"/>
        </w:rPr>
        <w:t xml:space="preserve">* </w:t>
      </w:r>
      <w:r w:rsidR="00B254DD">
        <w:rPr>
          <w:rFonts w:ascii="Garamond" w:hAnsi="Garamond"/>
        </w:rPr>
        <w:t xml:space="preserve">Specific </w:t>
      </w:r>
      <w:r w:rsidR="005C7642">
        <w:rPr>
          <w:rFonts w:ascii="Garamond" w:hAnsi="Garamond"/>
        </w:rPr>
        <w:t>research t</w:t>
      </w:r>
      <w:r w:rsidRPr="00F32859">
        <w:rPr>
          <w:rFonts w:ascii="Garamond" w:hAnsi="Garamond"/>
        </w:rPr>
        <w:t xml:space="preserve">opics </w:t>
      </w:r>
      <w:r w:rsidR="00B254DD">
        <w:rPr>
          <w:rFonts w:ascii="Garamond" w:hAnsi="Garamond"/>
        </w:rPr>
        <w:t>will be defined in agreement with the instructor</w:t>
      </w:r>
    </w:p>
    <w:p w:rsidR="00DB1852" w:rsidRDefault="00DB1852" w:rsidP="00DB1852">
      <w:pPr>
        <w:spacing w:line="360" w:lineRule="auto"/>
        <w:jc w:val="both"/>
        <w:rPr>
          <w:rFonts w:ascii="Garamond" w:hAnsi="Garamond"/>
        </w:rPr>
      </w:pPr>
    </w:p>
    <w:p w:rsidR="00DB1852" w:rsidRPr="00AB28A0" w:rsidRDefault="00DB1852" w:rsidP="00DB1852">
      <w:pPr>
        <w:spacing w:line="360" w:lineRule="auto"/>
        <w:rPr>
          <w:rFonts w:ascii="Garamond" w:hAnsi="Garamond"/>
          <w:b/>
          <w:sz w:val="28"/>
        </w:rPr>
      </w:pPr>
      <w:r w:rsidRPr="00AB28A0">
        <w:rPr>
          <w:rFonts w:ascii="Garamond" w:hAnsi="Garamond"/>
          <w:b/>
          <w:sz w:val="28"/>
        </w:rPr>
        <w:t>Expectations and responsibilities</w:t>
      </w:r>
    </w:p>
    <w:p w:rsidR="00DB1852" w:rsidRDefault="00DB1852" w:rsidP="00DB1852">
      <w:pPr>
        <w:spacing w:line="360" w:lineRule="auto"/>
        <w:jc w:val="both"/>
        <w:rPr>
          <w:rFonts w:ascii="Garamond" w:hAnsi="Garamond"/>
        </w:rPr>
      </w:pPr>
      <w:r w:rsidRPr="00AB28A0">
        <w:rPr>
          <w:rFonts w:ascii="Garamond" w:hAnsi="Garamond"/>
          <w:u w:val="single"/>
        </w:rPr>
        <w:t>You are responsible for showing up on time and attending all classes.</w:t>
      </w:r>
      <w:r>
        <w:rPr>
          <w:rFonts w:ascii="Garamond" w:hAnsi="Garamond"/>
        </w:rPr>
        <w:t xml:space="preserve"> </w:t>
      </w:r>
      <w:r w:rsidR="008201AF">
        <w:rPr>
          <w:rFonts w:ascii="Garamond" w:hAnsi="Garamond"/>
        </w:rPr>
        <w:t>If you have an assigned presentation and you cannot attend, you should contact the instructor beforehand to re-organize the full schedule of presentations</w:t>
      </w:r>
      <w:r>
        <w:rPr>
          <w:rFonts w:ascii="Garamond" w:hAnsi="Garamond"/>
        </w:rPr>
        <w:t xml:space="preserve">. Please contact the instructors if you will need to miss multiple classes or if an emergency or sickness prevent you from attending multiple classes. </w:t>
      </w:r>
    </w:p>
    <w:p w:rsidR="00DB1852" w:rsidRDefault="00DB1852" w:rsidP="00DB1852">
      <w:pPr>
        <w:spacing w:line="360" w:lineRule="auto"/>
        <w:jc w:val="both"/>
        <w:rPr>
          <w:rFonts w:ascii="Garamond" w:hAnsi="Garamond"/>
        </w:rPr>
      </w:pPr>
    </w:p>
    <w:p w:rsidR="00DB1852" w:rsidRPr="00AB28A0" w:rsidRDefault="008201AF" w:rsidP="008201AF">
      <w:pPr>
        <w:spacing w:line="360" w:lineRule="auto"/>
        <w:jc w:val="both"/>
        <w:rPr>
          <w:rFonts w:ascii="Garamond" w:hAnsi="Garamond"/>
          <w:u w:val="single"/>
        </w:rPr>
      </w:pPr>
      <w:r>
        <w:rPr>
          <w:rFonts w:ascii="Garamond" w:hAnsi="Garamond"/>
        </w:rPr>
        <w:t xml:space="preserve">If you do not have an assigned presentation. </w:t>
      </w:r>
      <w:r w:rsidRPr="008201AF">
        <w:rPr>
          <w:rFonts w:ascii="Garamond" w:hAnsi="Garamond"/>
          <w:u w:val="single"/>
        </w:rPr>
        <w:t>You are still expected to attend and read the assigned material before the class session</w:t>
      </w:r>
      <w:r>
        <w:rPr>
          <w:rFonts w:ascii="Garamond" w:hAnsi="Garamond"/>
        </w:rPr>
        <w:t xml:space="preserve">. Your (informed) participation in class will be </w:t>
      </w:r>
      <w:r w:rsidR="007D196E">
        <w:rPr>
          <w:rFonts w:ascii="Garamond" w:hAnsi="Garamond"/>
        </w:rPr>
        <w:t>noted</w:t>
      </w:r>
      <w:r>
        <w:rPr>
          <w:rFonts w:ascii="Garamond" w:hAnsi="Garamond"/>
        </w:rPr>
        <w:t xml:space="preserve"> as part of the grading process.</w:t>
      </w:r>
      <w:r w:rsidR="00DB1852" w:rsidRPr="00AB28A0">
        <w:rPr>
          <w:rFonts w:ascii="Garamond" w:hAnsi="Garamond"/>
          <w:u w:val="single"/>
        </w:rPr>
        <w:t xml:space="preserve"> </w:t>
      </w:r>
    </w:p>
    <w:p w:rsidR="00DB1852" w:rsidRDefault="00DB1852" w:rsidP="00DB1852">
      <w:pPr>
        <w:spacing w:line="360" w:lineRule="auto"/>
        <w:jc w:val="both"/>
        <w:rPr>
          <w:rFonts w:ascii="Garamond" w:hAnsi="Garamond"/>
        </w:rPr>
      </w:pPr>
    </w:p>
    <w:p w:rsidR="00DB1852" w:rsidRDefault="00DB1852" w:rsidP="00DB1852">
      <w:pPr>
        <w:spacing w:line="360" w:lineRule="auto"/>
        <w:jc w:val="both"/>
        <w:rPr>
          <w:rFonts w:ascii="Garamond" w:hAnsi="Garamond"/>
        </w:rPr>
      </w:pPr>
      <w:r w:rsidRPr="00AB28A0">
        <w:rPr>
          <w:rFonts w:ascii="Garamond" w:hAnsi="Garamond"/>
          <w:u w:val="single"/>
        </w:rPr>
        <w:t xml:space="preserve">You can expect </w:t>
      </w:r>
      <w:r w:rsidR="008201AF">
        <w:rPr>
          <w:rFonts w:ascii="Garamond" w:hAnsi="Garamond"/>
          <w:u w:val="single"/>
        </w:rPr>
        <w:t xml:space="preserve">me </w:t>
      </w:r>
      <w:r w:rsidRPr="00AB28A0">
        <w:rPr>
          <w:rFonts w:ascii="Garamond" w:hAnsi="Garamond"/>
          <w:u w:val="single"/>
        </w:rPr>
        <w:t>to treat you as working professionals.</w:t>
      </w:r>
      <w:r>
        <w:rPr>
          <w:rFonts w:ascii="Garamond" w:hAnsi="Garamond"/>
        </w:rPr>
        <w:t xml:space="preserve"> </w:t>
      </w:r>
      <w:r w:rsidR="008201AF">
        <w:rPr>
          <w:rFonts w:ascii="Garamond" w:hAnsi="Garamond"/>
        </w:rPr>
        <w:t xml:space="preserve">I will comport myself </w:t>
      </w:r>
      <w:r>
        <w:rPr>
          <w:rFonts w:ascii="Garamond" w:hAnsi="Garamond"/>
        </w:rPr>
        <w:t xml:space="preserve">appropriately and expect you to do so as well. This means engaging in active listening, with the ringer of your phones </w:t>
      </w:r>
      <w:r>
        <w:rPr>
          <w:rFonts w:ascii="Garamond" w:hAnsi="Garamond"/>
        </w:rPr>
        <w:lastRenderedPageBreak/>
        <w:t xml:space="preserve">turned off; and your laptops used mainly for note taking. We are all colleagues in the quest for knowledge and skills, and we want this class to be a collegial experience. Please share notes with your classmates and discuss ideas and material outside of class. Your skills and expertise may be of assistance to your classmates, so please lend them a hand if you can. However, you will still be responsible for your own work. </w:t>
      </w:r>
      <w:r w:rsidRPr="00AB28A0">
        <w:rPr>
          <w:rFonts w:ascii="Garamond" w:hAnsi="Garamond"/>
          <w:u w:val="single"/>
        </w:rPr>
        <w:t>Plagiarism will not be allowed.</w:t>
      </w:r>
    </w:p>
    <w:p w:rsidR="00DB1852" w:rsidRDefault="00DB1852" w:rsidP="00DB1852">
      <w:pPr>
        <w:spacing w:line="360" w:lineRule="auto"/>
        <w:rPr>
          <w:rFonts w:ascii="Garamond" w:hAnsi="Garamond"/>
        </w:rPr>
      </w:pPr>
    </w:p>
    <w:p w:rsidR="00DB1852" w:rsidRDefault="00DB1852" w:rsidP="00DB1852">
      <w:pPr>
        <w:spacing w:line="360" w:lineRule="auto"/>
        <w:jc w:val="both"/>
        <w:rPr>
          <w:rFonts w:ascii="Garamond" w:hAnsi="Garamond"/>
        </w:rPr>
      </w:pPr>
      <w:r w:rsidRPr="00AB28A0">
        <w:rPr>
          <w:rFonts w:ascii="Garamond" w:hAnsi="Garamond"/>
          <w:b/>
        </w:rPr>
        <w:t>Late assignments</w:t>
      </w:r>
      <w:r>
        <w:rPr>
          <w:rFonts w:ascii="Garamond" w:hAnsi="Garamond"/>
          <w:b/>
        </w:rPr>
        <w:t xml:space="preserve">: </w:t>
      </w:r>
      <w:r>
        <w:rPr>
          <w:rFonts w:ascii="Garamond" w:hAnsi="Garamond"/>
        </w:rPr>
        <w:t>Late assignments will not be accepted unless instructed otherwise. It is your responsibility to contact the instructors before the corresponding due date, if you are unable to comply with any of the delivery dates.</w:t>
      </w:r>
    </w:p>
    <w:p w:rsidR="00DB1852" w:rsidRDefault="00DB1852" w:rsidP="00DB1852">
      <w:pPr>
        <w:spacing w:line="360" w:lineRule="auto"/>
        <w:jc w:val="both"/>
        <w:rPr>
          <w:rFonts w:ascii="Garamond" w:hAnsi="Garamond"/>
        </w:rPr>
      </w:pPr>
    </w:p>
    <w:p w:rsidR="00DB1852" w:rsidRDefault="00DB1852" w:rsidP="00DB1852">
      <w:pPr>
        <w:spacing w:line="360" w:lineRule="auto"/>
        <w:jc w:val="both"/>
        <w:rPr>
          <w:rFonts w:ascii="Garamond" w:hAnsi="Garamond"/>
          <w:b/>
        </w:rPr>
      </w:pPr>
      <w:r w:rsidRPr="00AB28A0">
        <w:rPr>
          <w:rFonts w:ascii="Garamond" w:hAnsi="Garamond"/>
          <w:b/>
        </w:rPr>
        <w:t xml:space="preserve">Accommodations based on ability: </w:t>
      </w:r>
      <w:r>
        <w:rPr>
          <w:rFonts w:ascii="Garamond" w:hAnsi="Garamond"/>
        </w:rPr>
        <w:t xml:space="preserve">The Georgia Institute of Technology Office of Disability Resources is there to help you find solutions for physiological and psychological challenges to your educational goals. Please let us know how we can work with you: </w:t>
      </w:r>
      <w:hyperlink r:id="rId5" w:history="1">
        <w:r w:rsidRPr="006901AF">
          <w:rPr>
            <w:rStyle w:val="Hyperlink"/>
            <w:rFonts w:ascii="Garamond" w:hAnsi="Garamond"/>
          </w:rPr>
          <w:t>http://disabilityservices.gatech.edu/content/welcome-accommodate</w:t>
        </w:r>
      </w:hyperlink>
      <w:r>
        <w:rPr>
          <w:rFonts w:ascii="Garamond" w:hAnsi="Garamond"/>
        </w:rPr>
        <w:t xml:space="preserve"> </w:t>
      </w:r>
    </w:p>
    <w:p w:rsidR="00DB1852" w:rsidRPr="00710345" w:rsidRDefault="00DB1852" w:rsidP="00DB1852">
      <w:pPr>
        <w:spacing w:line="360" w:lineRule="auto"/>
        <w:rPr>
          <w:rFonts w:ascii="Garamond" w:hAnsi="Garamond"/>
          <w:color w:val="FF0000"/>
        </w:rPr>
      </w:pPr>
    </w:p>
    <w:p w:rsidR="00C71A1F" w:rsidRPr="00777BFD" w:rsidRDefault="00C71A1F" w:rsidP="00C71A1F">
      <w:pPr>
        <w:spacing w:line="360" w:lineRule="auto"/>
        <w:rPr>
          <w:rFonts w:ascii="Garamond" w:hAnsi="Garamond"/>
          <w:b/>
          <w:sz w:val="28"/>
        </w:rPr>
      </w:pPr>
      <w:r w:rsidRPr="00777BFD">
        <w:rPr>
          <w:rFonts w:ascii="Garamond" w:hAnsi="Garamond"/>
          <w:b/>
          <w:sz w:val="28"/>
        </w:rPr>
        <w:t>MCRP Grading scale</w:t>
      </w:r>
    </w:p>
    <w:tbl>
      <w:tblPr>
        <w:tblStyle w:val="TableGrid"/>
        <w:tblW w:w="0" w:type="auto"/>
        <w:jc w:val="center"/>
        <w:tblLook w:val="04A0" w:firstRow="1" w:lastRow="0" w:firstColumn="1" w:lastColumn="0" w:noHBand="0" w:noVBand="1"/>
      </w:tblPr>
      <w:tblGrid>
        <w:gridCol w:w="1795"/>
        <w:gridCol w:w="1620"/>
      </w:tblGrid>
      <w:tr w:rsidR="00C71A1F" w:rsidRPr="00777BFD" w:rsidTr="008D0624">
        <w:trPr>
          <w:jc w:val="center"/>
        </w:trPr>
        <w:tc>
          <w:tcPr>
            <w:tcW w:w="1795" w:type="dxa"/>
          </w:tcPr>
          <w:p w:rsidR="00C71A1F" w:rsidRPr="00777BFD" w:rsidRDefault="00C71A1F" w:rsidP="008D0624">
            <w:pPr>
              <w:jc w:val="center"/>
              <w:rPr>
                <w:rFonts w:ascii="Garamond" w:hAnsi="Garamond"/>
                <w:b/>
              </w:rPr>
            </w:pPr>
            <w:r w:rsidRPr="00777BFD">
              <w:rPr>
                <w:rFonts w:ascii="Garamond" w:hAnsi="Garamond"/>
                <w:b/>
              </w:rPr>
              <w:t>Numeric Grade</w:t>
            </w:r>
          </w:p>
        </w:tc>
        <w:tc>
          <w:tcPr>
            <w:tcW w:w="1620" w:type="dxa"/>
          </w:tcPr>
          <w:p w:rsidR="00C71A1F" w:rsidRPr="00777BFD" w:rsidRDefault="00C71A1F" w:rsidP="008D0624">
            <w:pPr>
              <w:jc w:val="center"/>
              <w:rPr>
                <w:rFonts w:ascii="Garamond" w:hAnsi="Garamond"/>
                <w:b/>
              </w:rPr>
            </w:pPr>
            <w:r w:rsidRPr="00777BFD">
              <w:rPr>
                <w:rFonts w:ascii="Garamond" w:hAnsi="Garamond"/>
                <w:b/>
              </w:rPr>
              <w:t>Letter Grade</w:t>
            </w:r>
          </w:p>
        </w:tc>
      </w:tr>
      <w:tr w:rsidR="00C71A1F" w:rsidRPr="00777BFD" w:rsidTr="008D0624">
        <w:trPr>
          <w:jc w:val="center"/>
        </w:trPr>
        <w:tc>
          <w:tcPr>
            <w:tcW w:w="1795" w:type="dxa"/>
          </w:tcPr>
          <w:p w:rsidR="00C71A1F" w:rsidRPr="00777BFD" w:rsidRDefault="00C71A1F" w:rsidP="008D0624">
            <w:pPr>
              <w:jc w:val="center"/>
              <w:rPr>
                <w:rFonts w:ascii="Garamond" w:hAnsi="Garamond"/>
              </w:rPr>
            </w:pPr>
            <w:r w:rsidRPr="00777BFD">
              <w:rPr>
                <w:rFonts w:ascii="Garamond" w:hAnsi="Garamond"/>
              </w:rPr>
              <w:t>A</w:t>
            </w:r>
          </w:p>
        </w:tc>
        <w:tc>
          <w:tcPr>
            <w:tcW w:w="1620" w:type="dxa"/>
          </w:tcPr>
          <w:p w:rsidR="00C71A1F" w:rsidRPr="00777BFD" w:rsidRDefault="00C71A1F" w:rsidP="008D0624">
            <w:pPr>
              <w:jc w:val="center"/>
              <w:rPr>
                <w:rFonts w:ascii="Garamond" w:hAnsi="Garamond"/>
              </w:rPr>
            </w:pPr>
            <w:r w:rsidRPr="00777BFD">
              <w:rPr>
                <w:rFonts w:ascii="Garamond" w:hAnsi="Garamond"/>
              </w:rPr>
              <w:t>90 – 100</w:t>
            </w:r>
          </w:p>
        </w:tc>
      </w:tr>
      <w:tr w:rsidR="00C71A1F" w:rsidRPr="00777BFD" w:rsidTr="008D0624">
        <w:trPr>
          <w:jc w:val="center"/>
        </w:trPr>
        <w:tc>
          <w:tcPr>
            <w:tcW w:w="1795" w:type="dxa"/>
          </w:tcPr>
          <w:p w:rsidR="00C71A1F" w:rsidRPr="00777BFD" w:rsidRDefault="00C71A1F" w:rsidP="008D0624">
            <w:pPr>
              <w:jc w:val="center"/>
              <w:rPr>
                <w:rFonts w:ascii="Garamond" w:hAnsi="Garamond"/>
              </w:rPr>
            </w:pPr>
            <w:r w:rsidRPr="00777BFD">
              <w:rPr>
                <w:rFonts w:ascii="Garamond" w:hAnsi="Garamond"/>
              </w:rPr>
              <w:t>B</w:t>
            </w:r>
          </w:p>
        </w:tc>
        <w:tc>
          <w:tcPr>
            <w:tcW w:w="1620" w:type="dxa"/>
          </w:tcPr>
          <w:p w:rsidR="00C71A1F" w:rsidRPr="00777BFD" w:rsidRDefault="00C71A1F" w:rsidP="008D0624">
            <w:pPr>
              <w:jc w:val="center"/>
              <w:rPr>
                <w:rFonts w:ascii="Garamond" w:hAnsi="Garamond"/>
              </w:rPr>
            </w:pPr>
            <w:r w:rsidRPr="00777BFD">
              <w:rPr>
                <w:rFonts w:ascii="Garamond" w:hAnsi="Garamond"/>
              </w:rPr>
              <w:t>80 – 89</w:t>
            </w:r>
          </w:p>
        </w:tc>
      </w:tr>
      <w:tr w:rsidR="00C71A1F" w:rsidRPr="00777BFD" w:rsidTr="008D0624">
        <w:trPr>
          <w:jc w:val="center"/>
        </w:trPr>
        <w:tc>
          <w:tcPr>
            <w:tcW w:w="1795" w:type="dxa"/>
          </w:tcPr>
          <w:p w:rsidR="00C71A1F" w:rsidRPr="00777BFD" w:rsidRDefault="00C71A1F" w:rsidP="008D0624">
            <w:pPr>
              <w:jc w:val="center"/>
              <w:rPr>
                <w:rFonts w:ascii="Garamond" w:hAnsi="Garamond"/>
              </w:rPr>
            </w:pPr>
            <w:r w:rsidRPr="00777BFD">
              <w:rPr>
                <w:rFonts w:ascii="Garamond" w:hAnsi="Garamond"/>
              </w:rPr>
              <w:t>C</w:t>
            </w:r>
          </w:p>
        </w:tc>
        <w:tc>
          <w:tcPr>
            <w:tcW w:w="1620" w:type="dxa"/>
          </w:tcPr>
          <w:p w:rsidR="00C71A1F" w:rsidRPr="00777BFD" w:rsidRDefault="00C71A1F" w:rsidP="008D0624">
            <w:pPr>
              <w:jc w:val="center"/>
              <w:rPr>
                <w:rFonts w:ascii="Garamond" w:hAnsi="Garamond"/>
              </w:rPr>
            </w:pPr>
            <w:r w:rsidRPr="00777BFD">
              <w:rPr>
                <w:rFonts w:ascii="Garamond" w:hAnsi="Garamond"/>
              </w:rPr>
              <w:t>70 – 79</w:t>
            </w:r>
          </w:p>
        </w:tc>
      </w:tr>
      <w:tr w:rsidR="00C71A1F" w:rsidRPr="00777BFD" w:rsidTr="008D0624">
        <w:trPr>
          <w:jc w:val="center"/>
        </w:trPr>
        <w:tc>
          <w:tcPr>
            <w:tcW w:w="1795" w:type="dxa"/>
          </w:tcPr>
          <w:p w:rsidR="00C71A1F" w:rsidRPr="00777BFD" w:rsidRDefault="00C71A1F" w:rsidP="008D0624">
            <w:pPr>
              <w:jc w:val="center"/>
              <w:rPr>
                <w:rFonts w:ascii="Garamond" w:hAnsi="Garamond"/>
              </w:rPr>
            </w:pPr>
            <w:r w:rsidRPr="00777BFD">
              <w:rPr>
                <w:rFonts w:ascii="Garamond" w:hAnsi="Garamond"/>
              </w:rPr>
              <w:t>D</w:t>
            </w:r>
          </w:p>
        </w:tc>
        <w:tc>
          <w:tcPr>
            <w:tcW w:w="1620" w:type="dxa"/>
          </w:tcPr>
          <w:p w:rsidR="00C71A1F" w:rsidRPr="00777BFD" w:rsidRDefault="00C71A1F" w:rsidP="008D0624">
            <w:pPr>
              <w:jc w:val="center"/>
              <w:rPr>
                <w:rFonts w:ascii="Garamond" w:hAnsi="Garamond"/>
              </w:rPr>
            </w:pPr>
            <w:r w:rsidRPr="00777BFD">
              <w:rPr>
                <w:rFonts w:ascii="Garamond" w:hAnsi="Garamond"/>
              </w:rPr>
              <w:t>60 – 69</w:t>
            </w:r>
          </w:p>
        </w:tc>
      </w:tr>
      <w:tr w:rsidR="00C71A1F" w:rsidRPr="00777BFD" w:rsidTr="008D0624">
        <w:trPr>
          <w:jc w:val="center"/>
        </w:trPr>
        <w:tc>
          <w:tcPr>
            <w:tcW w:w="1795" w:type="dxa"/>
          </w:tcPr>
          <w:p w:rsidR="00C71A1F" w:rsidRPr="00777BFD" w:rsidRDefault="00C71A1F" w:rsidP="008D0624">
            <w:pPr>
              <w:jc w:val="center"/>
              <w:rPr>
                <w:rFonts w:ascii="Garamond" w:hAnsi="Garamond"/>
              </w:rPr>
            </w:pPr>
            <w:r w:rsidRPr="00777BFD">
              <w:rPr>
                <w:rFonts w:ascii="Garamond" w:hAnsi="Garamond"/>
              </w:rPr>
              <w:t>F</w:t>
            </w:r>
          </w:p>
        </w:tc>
        <w:tc>
          <w:tcPr>
            <w:tcW w:w="1620" w:type="dxa"/>
          </w:tcPr>
          <w:p w:rsidR="00C71A1F" w:rsidRPr="00777BFD" w:rsidRDefault="00C71A1F" w:rsidP="008D0624">
            <w:pPr>
              <w:jc w:val="center"/>
              <w:rPr>
                <w:rFonts w:ascii="Garamond" w:hAnsi="Garamond"/>
              </w:rPr>
            </w:pPr>
            <w:r w:rsidRPr="00777BFD">
              <w:rPr>
                <w:rFonts w:ascii="Garamond" w:hAnsi="Garamond"/>
              </w:rPr>
              <w:t>0 – 59</w:t>
            </w:r>
          </w:p>
        </w:tc>
      </w:tr>
    </w:tbl>
    <w:p w:rsidR="00DB1852" w:rsidRDefault="00DB1852" w:rsidP="00DB1852">
      <w:pPr>
        <w:spacing w:line="360" w:lineRule="auto"/>
        <w:rPr>
          <w:rFonts w:ascii="Garamond" w:hAnsi="Garamond"/>
          <w:color w:val="FF0000"/>
        </w:rPr>
      </w:pPr>
    </w:p>
    <w:p w:rsidR="00312C83" w:rsidRPr="00710345" w:rsidRDefault="00312C83" w:rsidP="00DB1852">
      <w:pPr>
        <w:spacing w:line="360" w:lineRule="auto"/>
        <w:rPr>
          <w:rFonts w:ascii="Garamond" w:hAnsi="Garamond"/>
          <w:color w:val="FF0000"/>
        </w:rPr>
      </w:pPr>
    </w:p>
    <w:p w:rsidR="00DB1852" w:rsidRDefault="00DB1852" w:rsidP="00DB1852">
      <w:pPr>
        <w:spacing w:line="360" w:lineRule="auto"/>
        <w:jc w:val="both"/>
        <w:rPr>
          <w:rFonts w:ascii="Garamond" w:hAnsi="Garamond"/>
          <w:b/>
          <w:sz w:val="28"/>
        </w:rPr>
      </w:pPr>
      <w:r w:rsidRPr="003A51D0">
        <w:rPr>
          <w:rFonts w:ascii="Garamond" w:hAnsi="Garamond"/>
          <w:b/>
          <w:sz w:val="28"/>
        </w:rPr>
        <w:t>Assignments</w:t>
      </w:r>
    </w:p>
    <w:p w:rsidR="00312C83" w:rsidRPr="003A51D0" w:rsidRDefault="00312C83" w:rsidP="00DB1852">
      <w:pPr>
        <w:spacing w:line="360" w:lineRule="auto"/>
        <w:jc w:val="both"/>
        <w:rPr>
          <w:rFonts w:ascii="Garamond" w:hAnsi="Garamond"/>
          <w:b/>
          <w:sz w:val="28"/>
        </w:rPr>
      </w:pPr>
    </w:p>
    <w:p w:rsidR="00DB1852" w:rsidRPr="003A51D0" w:rsidRDefault="002A7F0A" w:rsidP="00DB1852">
      <w:pPr>
        <w:spacing w:line="360" w:lineRule="auto"/>
        <w:jc w:val="both"/>
        <w:rPr>
          <w:rFonts w:ascii="Garamond" w:hAnsi="Garamond"/>
        </w:rPr>
      </w:pPr>
      <w:r w:rsidRPr="003A51D0">
        <w:rPr>
          <w:rFonts w:ascii="Garamond" w:hAnsi="Garamond"/>
          <w:b/>
        </w:rPr>
        <w:t>Research Project Presentations</w:t>
      </w:r>
      <w:r w:rsidR="00DB1852" w:rsidRPr="003A51D0">
        <w:rPr>
          <w:rFonts w:ascii="Garamond" w:hAnsi="Garamond"/>
          <w:b/>
        </w:rPr>
        <w:t xml:space="preserve">: </w:t>
      </w:r>
      <w:r w:rsidRPr="003A51D0">
        <w:rPr>
          <w:rFonts w:ascii="Garamond" w:hAnsi="Garamond"/>
        </w:rPr>
        <w:t>After the initial introduction to the course topics by the instructor, the students will develop a research project on a selected topic, with a title and reach defined in agreement with the instructor. During the course, the student will do two presentations of his</w:t>
      </w:r>
      <w:r w:rsidR="00994475">
        <w:rPr>
          <w:rFonts w:ascii="Garamond" w:hAnsi="Garamond"/>
        </w:rPr>
        <w:t>/her</w:t>
      </w:r>
      <w:r w:rsidRPr="003A51D0">
        <w:rPr>
          <w:rFonts w:ascii="Garamond" w:hAnsi="Garamond"/>
        </w:rPr>
        <w:t xml:space="preserve"> progress on the project, including bibliography consulted, data collected and analyzed (if required), and hypothesis construction and demonstration. It is expected that during the time span between </w:t>
      </w:r>
      <w:r w:rsidR="003A51D0" w:rsidRPr="003A51D0">
        <w:rPr>
          <w:rFonts w:ascii="Garamond" w:hAnsi="Garamond"/>
        </w:rPr>
        <w:t xml:space="preserve">the two </w:t>
      </w:r>
      <w:r w:rsidRPr="003A51D0">
        <w:rPr>
          <w:rFonts w:ascii="Garamond" w:hAnsi="Garamond"/>
        </w:rPr>
        <w:t>presentations, the stude</w:t>
      </w:r>
      <w:r w:rsidR="003A51D0" w:rsidRPr="003A51D0">
        <w:rPr>
          <w:rFonts w:ascii="Garamond" w:hAnsi="Garamond"/>
        </w:rPr>
        <w:t>nts will show significant progress in their projects.</w:t>
      </w:r>
    </w:p>
    <w:p w:rsidR="003A51D0" w:rsidRPr="003A51D0" w:rsidRDefault="003A51D0" w:rsidP="00DB1852">
      <w:pPr>
        <w:spacing w:line="360" w:lineRule="auto"/>
        <w:jc w:val="both"/>
        <w:rPr>
          <w:rFonts w:ascii="Garamond" w:hAnsi="Garamond"/>
        </w:rPr>
      </w:pPr>
    </w:p>
    <w:p w:rsidR="002A7F0A" w:rsidRPr="003A51D0" w:rsidRDefault="002A7F0A" w:rsidP="00DB1852">
      <w:pPr>
        <w:spacing w:line="360" w:lineRule="auto"/>
        <w:jc w:val="both"/>
        <w:rPr>
          <w:rFonts w:ascii="Garamond" w:hAnsi="Garamond"/>
        </w:rPr>
      </w:pPr>
      <w:r w:rsidRPr="003A51D0">
        <w:rPr>
          <w:rFonts w:ascii="Garamond" w:hAnsi="Garamond"/>
        </w:rPr>
        <w:t>(</w:t>
      </w:r>
      <w:r w:rsidRPr="003A51D0">
        <w:rPr>
          <w:rFonts w:ascii="Garamond" w:hAnsi="Garamond"/>
          <w:b/>
        </w:rPr>
        <w:t>Informed) Participation in Class</w:t>
      </w:r>
      <w:r w:rsidRPr="003A51D0">
        <w:rPr>
          <w:rFonts w:ascii="Garamond" w:hAnsi="Garamond"/>
        </w:rPr>
        <w:t>:</w:t>
      </w:r>
      <w:r w:rsidR="003A51D0" w:rsidRPr="003A51D0">
        <w:rPr>
          <w:rFonts w:ascii="Garamond" w:hAnsi="Garamond"/>
        </w:rPr>
        <w:t xml:space="preserve"> In both, the instructor and student led sessions, the students are expected to have read the corresponding material, </w:t>
      </w:r>
      <w:r w:rsidR="00312C83" w:rsidRPr="003A51D0">
        <w:rPr>
          <w:rFonts w:ascii="Garamond" w:hAnsi="Garamond"/>
        </w:rPr>
        <w:t>to</w:t>
      </w:r>
      <w:r w:rsidR="003A51D0" w:rsidRPr="003A51D0">
        <w:rPr>
          <w:rFonts w:ascii="Garamond" w:hAnsi="Garamond"/>
        </w:rPr>
        <w:t xml:space="preserve"> actively engage in the dialogue and make (informed) participations in class.</w:t>
      </w:r>
    </w:p>
    <w:p w:rsidR="002A7F0A" w:rsidRPr="003A51D0" w:rsidRDefault="002A7F0A" w:rsidP="00DB1852">
      <w:pPr>
        <w:spacing w:line="360" w:lineRule="auto"/>
        <w:jc w:val="both"/>
        <w:rPr>
          <w:rFonts w:ascii="Garamond" w:hAnsi="Garamond"/>
        </w:rPr>
      </w:pPr>
    </w:p>
    <w:p w:rsidR="002A7F0A" w:rsidRPr="003A51D0" w:rsidRDefault="002A7F0A" w:rsidP="00DB1852">
      <w:pPr>
        <w:spacing w:line="360" w:lineRule="auto"/>
        <w:jc w:val="both"/>
        <w:rPr>
          <w:rFonts w:ascii="Garamond" w:hAnsi="Garamond"/>
        </w:rPr>
      </w:pPr>
      <w:r w:rsidRPr="003A51D0">
        <w:rPr>
          <w:rFonts w:ascii="Garamond" w:hAnsi="Garamond"/>
          <w:b/>
        </w:rPr>
        <w:t>Research Paper</w:t>
      </w:r>
      <w:r w:rsidRPr="003A51D0">
        <w:rPr>
          <w:rFonts w:ascii="Garamond" w:hAnsi="Garamond"/>
        </w:rPr>
        <w:t xml:space="preserve">: </w:t>
      </w:r>
    </w:p>
    <w:p w:rsidR="002A7F0A" w:rsidRDefault="00312C83" w:rsidP="00DB1852">
      <w:pPr>
        <w:spacing w:line="360" w:lineRule="auto"/>
        <w:jc w:val="both"/>
        <w:rPr>
          <w:rFonts w:ascii="Garamond" w:hAnsi="Garamond"/>
        </w:rPr>
      </w:pPr>
      <w:r>
        <w:rPr>
          <w:rFonts w:ascii="Garamond" w:hAnsi="Garamond"/>
        </w:rPr>
        <w:t xml:space="preserve">The final exam of the class, will be an individually written research paper where the student shows his/her command of the read material, critically approaching the selected topic presented during the course. The document will have a maximum of </w:t>
      </w:r>
      <w:r w:rsidR="00875177">
        <w:rPr>
          <w:rFonts w:ascii="Garamond" w:hAnsi="Garamond"/>
        </w:rPr>
        <w:t>5</w:t>
      </w:r>
      <w:r>
        <w:rPr>
          <w:rFonts w:ascii="Garamond" w:hAnsi="Garamond"/>
        </w:rPr>
        <w:t xml:space="preserve">,000 words, and include a properly referenced bibliography, predominantly extracted from academic sources.  </w:t>
      </w:r>
    </w:p>
    <w:p w:rsidR="00312C83" w:rsidRDefault="00312C83" w:rsidP="00DB1852">
      <w:pPr>
        <w:spacing w:line="360" w:lineRule="auto"/>
        <w:jc w:val="both"/>
        <w:rPr>
          <w:rFonts w:ascii="Garamond" w:hAnsi="Garamond"/>
        </w:rPr>
      </w:pPr>
    </w:p>
    <w:p w:rsidR="00DB1852" w:rsidRDefault="00DB1852" w:rsidP="00DB1852">
      <w:pPr>
        <w:spacing w:line="360" w:lineRule="auto"/>
        <w:jc w:val="both"/>
        <w:rPr>
          <w:rFonts w:ascii="Garamond" w:hAnsi="Garamond"/>
        </w:rPr>
      </w:pPr>
    </w:p>
    <w:p w:rsidR="00DB1852" w:rsidRDefault="00DB1852" w:rsidP="00DB1852">
      <w:pPr>
        <w:spacing w:line="360" w:lineRule="auto"/>
        <w:rPr>
          <w:rFonts w:ascii="Garamond" w:hAnsi="Garamond"/>
          <w:b/>
          <w:sz w:val="28"/>
        </w:rPr>
      </w:pPr>
      <w:r w:rsidRPr="00AB28A0">
        <w:rPr>
          <w:rFonts w:ascii="Garamond" w:hAnsi="Garamond"/>
          <w:b/>
          <w:sz w:val="28"/>
        </w:rPr>
        <w:t>Plagiarism</w:t>
      </w:r>
    </w:p>
    <w:p w:rsidR="00312C83" w:rsidRPr="00AB28A0" w:rsidRDefault="00312C83" w:rsidP="00DB1852">
      <w:pPr>
        <w:spacing w:line="360" w:lineRule="auto"/>
        <w:rPr>
          <w:rFonts w:ascii="Garamond" w:hAnsi="Garamond"/>
          <w:b/>
          <w:sz w:val="28"/>
        </w:rPr>
      </w:pPr>
    </w:p>
    <w:p w:rsidR="00DB1852" w:rsidRDefault="00DB1852" w:rsidP="00DB1852">
      <w:pPr>
        <w:spacing w:line="360" w:lineRule="auto"/>
        <w:jc w:val="both"/>
        <w:rPr>
          <w:rFonts w:ascii="Garamond" w:hAnsi="Garamond"/>
        </w:rPr>
      </w:pPr>
      <w:r w:rsidRPr="004A3B8A">
        <w:rPr>
          <w:rFonts w:ascii="Garamond" w:hAnsi="Garamond"/>
        </w:rPr>
        <w:t>Plagiarism</w:t>
      </w:r>
      <w:r>
        <w:rPr>
          <w:rFonts w:ascii="Garamond" w:hAnsi="Garamond"/>
        </w:rPr>
        <w:t xml:space="preserve"> is not tolerated at the Georgia Institute of Technology and will not be tolerated in this class. You will be expected to use proper citations when quoting another’s words or discussing another’s ideas. In addition, it is expected that you remit yourself to indexed sources, with a certain degree of credibility. All your written assignments and will be held to this standard. If uncertain about citation norms, and the search for valid source, please feel free to consult with the instructor or the TA about them. For more information about plagiarism: </w:t>
      </w:r>
      <w:hyperlink r:id="rId6" w:history="1">
        <w:r w:rsidRPr="006901AF">
          <w:rPr>
            <w:rStyle w:val="Hyperlink"/>
            <w:rFonts w:ascii="Garamond" w:hAnsi="Garamond"/>
          </w:rPr>
          <w:t>http://libguides.gatech.edu/citationtools/aboutplag</w:t>
        </w:r>
      </w:hyperlink>
      <w:r>
        <w:rPr>
          <w:rFonts w:ascii="Garamond" w:hAnsi="Garamond"/>
        </w:rPr>
        <w:t xml:space="preserve">, and </w:t>
      </w:r>
      <w:hyperlink r:id="rId7" w:history="1">
        <w:r w:rsidRPr="006901AF">
          <w:rPr>
            <w:rStyle w:val="Hyperlink"/>
            <w:rFonts w:ascii="Garamond" w:hAnsi="Garamond"/>
          </w:rPr>
          <w:t>http://libguides.gatech.edu/c.php?g=54271&amp;p=350397</w:t>
        </w:r>
      </w:hyperlink>
      <w:r>
        <w:rPr>
          <w:rFonts w:ascii="Garamond" w:hAnsi="Garamond"/>
        </w:rPr>
        <w:t xml:space="preserve"> </w:t>
      </w:r>
    </w:p>
    <w:p w:rsidR="00DB1852" w:rsidRDefault="00DB1852" w:rsidP="00DB1852">
      <w:pPr>
        <w:spacing w:line="360" w:lineRule="auto"/>
        <w:jc w:val="both"/>
        <w:rPr>
          <w:rFonts w:ascii="Garamond" w:hAnsi="Garamond"/>
        </w:rPr>
      </w:pPr>
    </w:p>
    <w:p w:rsidR="00312C83" w:rsidRDefault="00312C83" w:rsidP="00DB1852">
      <w:pPr>
        <w:spacing w:line="360" w:lineRule="auto"/>
        <w:jc w:val="both"/>
        <w:rPr>
          <w:rFonts w:ascii="Garamond" w:hAnsi="Garamond"/>
        </w:rPr>
      </w:pPr>
    </w:p>
    <w:p w:rsidR="00DB1852" w:rsidRDefault="00DB1852" w:rsidP="00DB1852">
      <w:pPr>
        <w:spacing w:line="360" w:lineRule="auto"/>
        <w:rPr>
          <w:rFonts w:ascii="Garamond" w:hAnsi="Garamond"/>
          <w:b/>
          <w:sz w:val="28"/>
        </w:rPr>
      </w:pPr>
      <w:r w:rsidRPr="00AB28A0">
        <w:rPr>
          <w:rFonts w:ascii="Garamond" w:hAnsi="Garamond"/>
          <w:b/>
          <w:sz w:val="28"/>
        </w:rPr>
        <w:t>Class Schedule</w:t>
      </w:r>
    </w:p>
    <w:tbl>
      <w:tblPr>
        <w:tblStyle w:val="TableGrid"/>
        <w:tblW w:w="9445" w:type="dxa"/>
        <w:tblLook w:val="04A0" w:firstRow="1" w:lastRow="0" w:firstColumn="1" w:lastColumn="0" w:noHBand="0" w:noVBand="1"/>
      </w:tblPr>
      <w:tblGrid>
        <w:gridCol w:w="741"/>
        <w:gridCol w:w="964"/>
        <w:gridCol w:w="4659"/>
        <w:gridCol w:w="994"/>
        <w:gridCol w:w="2087"/>
      </w:tblGrid>
      <w:tr w:rsidR="007D196E" w:rsidTr="007D196E">
        <w:tc>
          <w:tcPr>
            <w:tcW w:w="741" w:type="dxa"/>
            <w:vAlign w:val="center"/>
          </w:tcPr>
          <w:p w:rsidR="002E7DFA" w:rsidRPr="00CF1A11" w:rsidRDefault="002E7DFA" w:rsidP="00C71A1F">
            <w:pPr>
              <w:jc w:val="center"/>
              <w:rPr>
                <w:rFonts w:ascii="Garamond" w:hAnsi="Garamond"/>
              </w:rPr>
            </w:pPr>
            <w:r w:rsidRPr="00CF1A11">
              <w:rPr>
                <w:rFonts w:ascii="Garamond" w:hAnsi="Garamond"/>
              </w:rPr>
              <w:t>Week</w:t>
            </w:r>
          </w:p>
        </w:tc>
        <w:tc>
          <w:tcPr>
            <w:tcW w:w="5623" w:type="dxa"/>
            <w:gridSpan w:val="2"/>
            <w:vAlign w:val="center"/>
          </w:tcPr>
          <w:p w:rsidR="002E7DFA" w:rsidRDefault="002E7DFA" w:rsidP="00C71A1F">
            <w:pPr>
              <w:jc w:val="center"/>
              <w:rPr>
                <w:rFonts w:ascii="Garamond" w:hAnsi="Garamond"/>
              </w:rPr>
            </w:pPr>
            <w:r>
              <w:rPr>
                <w:rFonts w:ascii="Garamond" w:hAnsi="Garamond"/>
              </w:rPr>
              <w:t>Topic</w:t>
            </w:r>
          </w:p>
        </w:tc>
        <w:tc>
          <w:tcPr>
            <w:tcW w:w="994" w:type="dxa"/>
            <w:vAlign w:val="center"/>
          </w:tcPr>
          <w:p w:rsidR="002E7DFA" w:rsidRDefault="002E7DFA" w:rsidP="00C71A1F">
            <w:pPr>
              <w:jc w:val="center"/>
              <w:rPr>
                <w:rFonts w:ascii="Garamond" w:hAnsi="Garamond"/>
              </w:rPr>
            </w:pPr>
            <w:r>
              <w:rPr>
                <w:rFonts w:ascii="Garamond" w:hAnsi="Garamond"/>
              </w:rPr>
              <w:t>Session Type</w:t>
            </w:r>
          </w:p>
        </w:tc>
        <w:tc>
          <w:tcPr>
            <w:tcW w:w="2087" w:type="dxa"/>
            <w:vAlign w:val="center"/>
          </w:tcPr>
          <w:p w:rsidR="002E7DFA" w:rsidRDefault="002E7DFA" w:rsidP="00C71A1F">
            <w:pPr>
              <w:jc w:val="center"/>
              <w:rPr>
                <w:rFonts w:ascii="Garamond" w:hAnsi="Garamond"/>
              </w:rPr>
            </w:pPr>
            <w:r>
              <w:rPr>
                <w:rFonts w:ascii="Garamond" w:hAnsi="Garamond"/>
              </w:rPr>
              <w:t>Reading</w:t>
            </w:r>
          </w:p>
        </w:tc>
      </w:tr>
      <w:tr w:rsidR="00CF1A11" w:rsidTr="009720D8">
        <w:trPr>
          <w:trHeight w:val="530"/>
        </w:trPr>
        <w:tc>
          <w:tcPr>
            <w:tcW w:w="741" w:type="dxa"/>
            <w:vMerge w:val="restart"/>
            <w:vAlign w:val="center"/>
          </w:tcPr>
          <w:p w:rsidR="00CF1A11" w:rsidRPr="00CF1A11" w:rsidRDefault="00CF1A11" w:rsidP="002E7DFA">
            <w:pPr>
              <w:rPr>
                <w:rFonts w:ascii="Garamond" w:hAnsi="Garamond"/>
              </w:rPr>
            </w:pPr>
          </w:p>
          <w:p w:rsidR="00CF1A11" w:rsidRPr="00CF1A11" w:rsidRDefault="00CF1A11" w:rsidP="002E7DFA">
            <w:pPr>
              <w:rPr>
                <w:rFonts w:ascii="Garamond" w:hAnsi="Garamond"/>
              </w:rPr>
            </w:pPr>
            <w:r w:rsidRPr="00CF1A11">
              <w:rPr>
                <w:rFonts w:ascii="Garamond" w:hAnsi="Garamond"/>
              </w:rPr>
              <w:t>1</w:t>
            </w:r>
          </w:p>
          <w:p w:rsidR="00CF1A11" w:rsidRPr="00CF1A11" w:rsidRDefault="00CF1A11" w:rsidP="002E7DFA">
            <w:pPr>
              <w:rPr>
                <w:rFonts w:ascii="Garamond" w:hAnsi="Garamond"/>
              </w:rPr>
            </w:pPr>
          </w:p>
          <w:p w:rsidR="00CF1A11" w:rsidRPr="00CF1A11" w:rsidRDefault="00CF1A11" w:rsidP="002E7DFA">
            <w:pPr>
              <w:rPr>
                <w:rFonts w:ascii="Garamond" w:hAnsi="Garamond"/>
              </w:rPr>
            </w:pPr>
          </w:p>
          <w:p w:rsidR="00CF1A11" w:rsidRPr="00CF1A11" w:rsidRDefault="00CF1A11" w:rsidP="002E7DFA">
            <w:pPr>
              <w:rPr>
                <w:rFonts w:ascii="Garamond" w:hAnsi="Garamond"/>
              </w:rPr>
            </w:pPr>
            <w:r w:rsidRPr="00CF1A11">
              <w:rPr>
                <w:rFonts w:ascii="Garamond" w:hAnsi="Garamond"/>
              </w:rPr>
              <w:t>2</w:t>
            </w:r>
          </w:p>
          <w:p w:rsidR="00CF1A11" w:rsidRPr="00CF1A11" w:rsidRDefault="00CF1A11" w:rsidP="002E7DFA">
            <w:pPr>
              <w:rPr>
                <w:rFonts w:ascii="Garamond" w:hAnsi="Garamond"/>
              </w:rPr>
            </w:pPr>
          </w:p>
        </w:tc>
        <w:tc>
          <w:tcPr>
            <w:tcW w:w="5623" w:type="dxa"/>
            <w:gridSpan w:val="2"/>
            <w:vAlign w:val="center"/>
          </w:tcPr>
          <w:p w:rsidR="00CF1A11" w:rsidRDefault="00CF1A11" w:rsidP="002E7DFA">
            <w:pPr>
              <w:rPr>
                <w:rFonts w:ascii="Garamond" w:hAnsi="Garamond"/>
              </w:rPr>
            </w:pPr>
            <w:r>
              <w:rPr>
                <w:rFonts w:ascii="Garamond" w:hAnsi="Garamond"/>
              </w:rPr>
              <w:t>Slums and Money: A Socioeconomic Analysis</w:t>
            </w:r>
          </w:p>
          <w:p w:rsidR="00A130A6" w:rsidRDefault="0090074D" w:rsidP="002E7DFA">
            <w:pPr>
              <w:rPr>
                <w:rFonts w:ascii="Garamond" w:hAnsi="Garamond"/>
              </w:rPr>
            </w:pPr>
            <w:hyperlink r:id="rId8" w:history="1">
              <w:r w:rsidR="00A130A6" w:rsidRPr="00090791">
                <w:rPr>
                  <w:rStyle w:val="Hyperlink"/>
                  <w:rFonts w:ascii="Garamond" w:hAnsi="Garamond"/>
                </w:rPr>
                <w:t>http://fod.infobase.com/p_Home.aspx</w:t>
              </w:r>
            </w:hyperlink>
            <w:r w:rsidR="00A130A6">
              <w:rPr>
                <w:rFonts w:ascii="Garamond" w:hAnsi="Garamond"/>
              </w:rPr>
              <w:t xml:space="preserve"> </w:t>
            </w:r>
          </w:p>
        </w:tc>
        <w:tc>
          <w:tcPr>
            <w:tcW w:w="994" w:type="dxa"/>
            <w:vAlign w:val="center"/>
          </w:tcPr>
          <w:p w:rsidR="00CF1A11" w:rsidRDefault="00CF1A11" w:rsidP="002E7DFA">
            <w:pPr>
              <w:rPr>
                <w:rFonts w:ascii="Garamond" w:hAnsi="Garamond"/>
              </w:rPr>
            </w:pPr>
            <w:r>
              <w:rPr>
                <w:rFonts w:ascii="Garamond" w:hAnsi="Garamond"/>
              </w:rPr>
              <w:t>Film</w:t>
            </w:r>
          </w:p>
        </w:tc>
        <w:tc>
          <w:tcPr>
            <w:tcW w:w="2087" w:type="dxa"/>
            <w:vAlign w:val="center"/>
          </w:tcPr>
          <w:p w:rsidR="00CF1A11" w:rsidRDefault="00CF1A11" w:rsidP="002E7DFA">
            <w:pPr>
              <w:rPr>
                <w:rFonts w:ascii="Garamond" w:hAnsi="Garamond"/>
              </w:rPr>
            </w:pPr>
            <w:proofErr w:type="spellStart"/>
            <w:r>
              <w:rPr>
                <w:rFonts w:ascii="Garamond" w:hAnsi="Garamond"/>
              </w:rPr>
              <w:t>GaTech</w:t>
            </w:r>
            <w:proofErr w:type="spellEnd"/>
            <w:r>
              <w:rPr>
                <w:rFonts w:ascii="Garamond" w:hAnsi="Garamond"/>
              </w:rPr>
              <w:t xml:space="preserve"> Films on Demand</w:t>
            </w:r>
          </w:p>
        </w:tc>
      </w:tr>
      <w:tr w:rsidR="00042664" w:rsidTr="009720D8">
        <w:trPr>
          <w:trHeight w:val="530"/>
        </w:trPr>
        <w:tc>
          <w:tcPr>
            <w:tcW w:w="741" w:type="dxa"/>
            <w:vMerge/>
            <w:vAlign w:val="center"/>
          </w:tcPr>
          <w:p w:rsidR="00042664" w:rsidRPr="00CF1A11" w:rsidRDefault="00042664" w:rsidP="002E7DFA">
            <w:pPr>
              <w:rPr>
                <w:rFonts w:ascii="Garamond" w:hAnsi="Garamond"/>
              </w:rPr>
            </w:pPr>
          </w:p>
        </w:tc>
        <w:tc>
          <w:tcPr>
            <w:tcW w:w="5623" w:type="dxa"/>
            <w:gridSpan w:val="2"/>
            <w:vAlign w:val="center"/>
          </w:tcPr>
          <w:p w:rsidR="00042664" w:rsidRDefault="00042664" w:rsidP="002E7DFA">
            <w:pPr>
              <w:rPr>
                <w:rFonts w:ascii="Garamond" w:hAnsi="Garamond"/>
              </w:rPr>
            </w:pPr>
            <w:r>
              <w:rPr>
                <w:rFonts w:ascii="Garamond" w:hAnsi="Garamond"/>
              </w:rPr>
              <w:t>Demographic Transition in Developing Countries</w:t>
            </w:r>
          </w:p>
        </w:tc>
        <w:tc>
          <w:tcPr>
            <w:tcW w:w="994" w:type="dxa"/>
            <w:vAlign w:val="center"/>
          </w:tcPr>
          <w:p w:rsidR="00042664" w:rsidRDefault="00042664" w:rsidP="002E7DFA">
            <w:pPr>
              <w:rPr>
                <w:rFonts w:ascii="Garamond" w:hAnsi="Garamond"/>
              </w:rPr>
            </w:pPr>
            <w:r>
              <w:rPr>
                <w:rFonts w:ascii="Garamond" w:hAnsi="Garamond"/>
              </w:rPr>
              <w:t xml:space="preserve">Lecture </w:t>
            </w:r>
          </w:p>
        </w:tc>
        <w:tc>
          <w:tcPr>
            <w:tcW w:w="2087" w:type="dxa"/>
            <w:vMerge w:val="restart"/>
            <w:vAlign w:val="center"/>
          </w:tcPr>
          <w:p w:rsidR="00042664" w:rsidRDefault="00042664" w:rsidP="002E7DFA">
            <w:pPr>
              <w:rPr>
                <w:rFonts w:ascii="Garamond" w:hAnsi="Garamond"/>
              </w:rPr>
            </w:pPr>
          </w:p>
          <w:p w:rsidR="00042664" w:rsidRDefault="00042664" w:rsidP="002E7DFA">
            <w:pPr>
              <w:rPr>
                <w:rFonts w:ascii="Garamond" w:hAnsi="Garamond"/>
              </w:rPr>
            </w:pPr>
            <w:r>
              <w:rPr>
                <w:rFonts w:ascii="Garamond" w:hAnsi="Garamond"/>
              </w:rPr>
              <w:t>Arnott (2009)</w:t>
            </w:r>
          </w:p>
          <w:p w:rsidR="00042664" w:rsidRPr="00042664" w:rsidRDefault="00042664" w:rsidP="00042664">
            <w:pPr>
              <w:rPr>
                <w:rFonts w:ascii="Garamond" w:hAnsi="Garamond"/>
                <w:lang w:val="es-CO"/>
              </w:rPr>
            </w:pPr>
            <w:proofErr w:type="spellStart"/>
            <w:r w:rsidRPr="00042664">
              <w:rPr>
                <w:rFonts w:ascii="Garamond" w:hAnsi="Garamond"/>
                <w:lang w:val="es-CO"/>
              </w:rPr>
              <w:t>Duranton</w:t>
            </w:r>
            <w:proofErr w:type="spellEnd"/>
            <w:r w:rsidRPr="00042664">
              <w:rPr>
                <w:rFonts w:ascii="Garamond" w:hAnsi="Garamond"/>
                <w:lang w:val="es-CO"/>
              </w:rPr>
              <w:t xml:space="preserve"> (2009)</w:t>
            </w:r>
          </w:p>
          <w:p w:rsidR="00042664" w:rsidRPr="00042664" w:rsidRDefault="00042664" w:rsidP="00042664">
            <w:pPr>
              <w:rPr>
                <w:rFonts w:ascii="Garamond" w:hAnsi="Garamond"/>
                <w:lang w:val="es-CO"/>
              </w:rPr>
            </w:pPr>
            <w:proofErr w:type="spellStart"/>
            <w:r w:rsidRPr="00042664">
              <w:rPr>
                <w:rFonts w:ascii="Garamond" w:hAnsi="Garamond"/>
                <w:lang w:val="es-CO"/>
              </w:rPr>
              <w:t>Gollin</w:t>
            </w:r>
            <w:proofErr w:type="spellEnd"/>
            <w:r w:rsidRPr="00042664">
              <w:rPr>
                <w:rFonts w:ascii="Garamond" w:hAnsi="Garamond"/>
                <w:lang w:val="es-CO"/>
              </w:rPr>
              <w:t xml:space="preserve"> et al. (2016)</w:t>
            </w:r>
          </w:p>
          <w:p w:rsidR="00042664" w:rsidRPr="00042664" w:rsidRDefault="00042664" w:rsidP="002E7DFA">
            <w:pPr>
              <w:rPr>
                <w:rFonts w:ascii="Garamond" w:hAnsi="Garamond"/>
                <w:lang w:val="es-CO"/>
              </w:rPr>
            </w:pPr>
            <w:proofErr w:type="spellStart"/>
            <w:r w:rsidRPr="00042664">
              <w:rPr>
                <w:rFonts w:ascii="Garamond" w:hAnsi="Garamond"/>
                <w:lang w:val="es-CO"/>
              </w:rPr>
              <w:t>Malpezzi</w:t>
            </w:r>
            <w:proofErr w:type="spellEnd"/>
            <w:r w:rsidRPr="00042664">
              <w:rPr>
                <w:rFonts w:ascii="Garamond" w:hAnsi="Garamond"/>
                <w:lang w:val="es-CO"/>
              </w:rPr>
              <w:t xml:space="preserve"> (2006)</w:t>
            </w:r>
          </w:p>
          <w:p w:rsidR="00042664" w:rsidRDefault="00042664" w:rsidP="002E7DFA">
            <w:pPr>
              <w:rPr>
                <w:rFonts w:ascii="Garamond" w:hAnsi="Garamond"/>
              </w:rPr>
            </w:pPr>
            <w:proofErr w:type="spellStart"/>
            <w:r>
              <w:rPr>
                <w:rFonts w:ascii="Garamond" w:hAnsi="Garamond"/>
              </w:rPr>
              <w:lastRenderedPageBreak/>
              <w:t>Motamed</w:t>
            </w:r>
            <w:proofErr w:type="spellEnd"/>
            <w:r>
              <w:rPr>
                <w:rFonts w:ascii="Garamond" w:hAnsi="Garamond"/>
              </w:rPr>
              <w:t xml:space="preserve"> et al. ( 2014)</w:t>
            </w:r>
          </w:p>
          <w:p w:rsidR="00042664" w:rsidRPr="00042664" w:rsidRDefault="00042664" w:rsidP="00AA11A5">
            <w:pPr>
              <w:rPr>
                <w:rFonts w:ascii="Garamond" w:hAnsi="Garamond"/>
                <w:lang w:val="es-CO"/>
              </w:rPr>
            </w:pPr>
            <w:r w:rsidRPr="00042664">
              <w:rPr>
                <w:rFonts w:ascii="Garamond" w:hAnsi="Garamond"/>
                <w:lang w:val="es-CO"/>
              </w:rPr>
              <w:t>Venables (2009)</w:t>
            </w:r>
          </w:p>
          <w:p w:rsidR="00042664" w:rsidRDefault="00042664" w:rsidP="00042664">
            <w:pPr>
              <w:rPr>
                <w:rFonts w:ascii="Garamond" w:hAnsi="Garamond"/>
              </w:rPr>
            </w:pPr>
          </w:p>
        </w:tc>
      </w:tr>
      <w:tr w:rsidR="00042664" w:rsidTr="007D196E">
        <w:tc>
          <w:tcPr>
            <w:tcW w:w="741" w:type="dxa"/>
            <w:vMerge/>
            <w:vAlign w:val="center"/>
          </w:tcPr>
          <w:p w:rsidR="00042664" w:rsidRPr="00CF1A11" w:rsidRDefault="00042664" w:rsidP="002E7DFA">
            <w:pPr>
              <w:rPr>
                <w:rFonts w:ascii="Garamond" w:hAnsi="Garamond"/>
              </w:rPr>
            </w:pPr>
          </w:p>
        </w:tc>
        <w:tc>
          <w:tcPr>
            <w:tcW w:w="5623" w:type="dxa"/>
            <w:gridSpan w:val="2"/>
            <w:vAlign w:val="center"/>
          </w:tcPr>
          <w:p w:rsidR="00042664" w:rsidRDefault="00042664" w:rsidP="002E7DFA">
            <w:pPr>
              <w:rPr>
                <w:rFonts w:ascii="Garamond" w:hAnsi="Garamond"/>
              </w:rPr>
            </w:pPr>
            <w:r>
              <w:rPr>
                <w:rFonts w:ascii="Garamond" w:hAnsi="Garamond"/>
              </w:rPr>
              <w:t>Development and Urbanization</w:t>
            </w:r>
          </w:p>
        </w:tc>
        <w:tc>
          <w:tcPr>
            <w:tcW w:w="994" w:type="dxa"/>
            <w:vAlign w:val="center"/>
          </w:tcPr>
          <w:p w:rsidR="00042664" w:rsidRDefault="00042664" w:rsidP="002E7DFA">
            <w:pPr>
              <w:rPr>
                <w:rFonts w:ascii="Garamond" w:hAnsi="Garamond"/>
              </w:rPr>
            </w:pPr>
            <w:r>
              <w:rPr>
                <w:rFonts w:ascii="Garamond" w:hAnsi="Garamond"/>
              </w:rPr>
              <w:t>Lecture</w:t>
            </w:r>
          </w:p>
        </w:tc>
        <w:tc>
          <w:tcPr>
            <w:tcW w:w="2087" w:type="dxa"/>
            <w:vMerge/>
            <w:vAlign w:val="center"/>
          </w:tcPr>
          <w:p w:rsidR="00042664" w:rsidRDefault="00042664" w:rsidP="00AA11A5">
            <w:pPr>
              <w:rPr>
                <w:rFonts w:ascii="Garamond" w:hAnsi="Garamond"/>
              </w:rPr>
            </w:pPr>
          </w:p>
        </w:tc>
      </w:tr>
      <w:tr w:rsidR="00042664" w:rsidTr="007D196E">
        <w:tc>
          <w:tcPr>
            <w:tcW w:w="741" w:type="dxa"/>
            <w:vMerge w:val="restart"/>
            <w:vAlign w:val="center"/>
          </w:tcPr>
          <w:p w:rsidR="00042664" w:rsidRDefault="00042664" w:rsidP="00994475">
            <w:pPr>
              <w:rPr>
                <w:rFonts w:ascii="Garamond" w:hAnsi="Garamond"/>
              </w:rPr>
            </w:pPr>
          </w:p>
          <w:p w:rsidR="00042664" w:rsidRPr="00CF1A11" w:rsidRDefault="00042664" w:rsidP="00994475">
            <w:pPr>
              <w:rPr>
                <w:rFonts w:ascii="Garamond" w:hAnsi="Garamond"/>
              </w:rPr>
            </w:pPr>
            <w:r w:rsidRPr="00CF1A11">
              <w:rPr>
                <w:rFonts w:ascii="Garamond" w:hAnsi="Garamond"/>
              </w:rPr>
              <w:lastRenderedPageBreak/>
              <w:t>3</w:t>
            </w:r>
          </w:p>
          <w:p w:rsidR="00042664" w:rsidRDefault="00042664" w:rsidP="00994475">
            <w:pPr>
              <w:rPr>
                <w:rFonts w:ascii="Garamond" w:hAnsi="Garamond"/>
              </w:rPr>
            </w:pPr>
          </w:p>
          <w:p w:rsidR="00042664" w:rsidRDefault="00042664" w:rsidP="00994475">
            <w:pPr>
              <w:rPr>
                <w:rFonts w:ascii="Garamond" w:hAnsi="Garamond"/>
              </w:rPr>
            </w:pPr>
          </w:p>
          <w:p w:rsidR="00042664" w:rsidRDefault="00042664" w:rsidP="00994475">
            <w:pPr>
              <w:rPr>
                <w:rFonts w:ascii="Garamond" w:hAnsi="Garamond"/>
              </w:rPr>
            </w:pPr>
          </w:p>
          <w:p w:rsidR="00042664" w:rsidRPr="00CF1A11" w:rsidRDefault="00042664" w:rsidP="00994475">
            <w:pPr>
              <w:rPr>
                <w:rFonts w:ascii="Garamond" w:hAnsi="Garamond"/>
              </w:rPr>
            </w:pPr>
            <w:r w:rsidRPr="00CF1A11">
              <w:rPr>
                <w:rFonts w:ascii="Garamond" w:hAnsi="Garamond"/>
              </w:rPr>
              <w:t>4</w:t>
            </w:r>
          </w:p>
        </w:tc>
        <w:tc>
          <w:tcPr>
            <w:tcW w:w="5623" w:type="dxa"/>
            <w:gridSpan w:val="2"/>
            <w:vAlign w:val="center"/>
          </w:tcPr>
          <w:p w:rsidR="00042664" w:rsidRDefault="00042664" w:rsidP="00994475">
            <w:pPr>
              <w:rPr>
                <w:rFonts w:ascii="Garamond" w:hAnsi="Garamond"/>
              </w:rPr>
            </w:pPr>
            <w:r>
              <w:rPr>
                <w:rFonts w:ascii="Garamond" w:hAnsi="Garamond"/>
              </w:rPr>
              <w:lastRenderedPageBreak/>
              <w:t xml:space="preserve">Economic Geography, Old and New Globalization, and </w:t>
            </w:r>
            <w:r>
              <w:rPr>
                <w:rFonts w:ascii="Garamond" w:hAnsi="Garamond"/>
              </w:rPr>
              <w:lastRenderedPageBreak/>
              <w:t>Development Challenges</w:t>
            </w:r>
          </w:p>
        </w:tc>
        <w:tc>
          <w:tcPr>
            <w:tcW w:w="994" w:type="dxa"/>
            <w:vAlign w:val="center"/>
          </w:tcPr>
          <w:p w:rsidR="00042664" w:rsidRDefault="00042664" w:rsidP="00994475">
            <w:pPr>
              <w:rPr>
                <w:rFonts w:ascii="Garamond" w:hAnsi="Garamond"/>
              </w:rPr>
            </w:pPr>
            <w:r>
              <w:rPr>
                <w:rFonts w:ascii="Garamond" w:hAnsi="Garamond"/>
              </w:rPr>
              <w:lastRenderedPageBreak/>
              <w:t>Lecture</w:t>
            </w:r>
          </w:p>
        </w:tc>
        <w:tc>
          <w:tcPr>
            <w:tcW w:w="2087" w:type="dxa"/>
            <w:vMerge/>
            <w:vAlign w:val="center"/>
          </w:tcPr>
          <w:p w:rsidR="00042664" w:rsidRDefault="00042664" w:rsidP="00AA11A5">
            <w:pPr>
              <w:rPr>
                <w:rFonts w:ascii="Garamond" w:hAnsi="Garamond"/>
              </w:rPr>
            </w:pPr>
          </w:p>
        </w:tc>
      </w:tr>
      <w:tr w:rsidR="00042664" w:rsidTr="007D196E">
        <w:tc>
          <w:tcPr>
            <w:tcW w:w="741" w:type="dxa"/>
            <w:vMerge/>
            <w:vAlign w:val="center"/>
          </w:tcPr>
          <w:p w:rsidR="00042664" w:rsidRPr="00CF1A11" w:rsidRDefault="00042664" w:rsidP="00994475">
            <w:pPr>
              <w:rPr>
                <w:rFonts w:ascii="Garamond" w:hAnsi="Garamond"/>
              </w:rPr>
            </w:pPr>
          </w:p>
        </w:tc>
        <w:tc>
          <w:tcPr>
            <w:tcW w:w="5623" w:type="dxa"/>
            <w:gridSpan w:val="2"/>
            <w:vAlign w:val="center"/>
          </w:tcPr>
          <w:p w:rsidR="00042664" w:rsidRDefault="00042664" w:rsidP="00994475">
            <w:pPr>
              <w:rPr>
                <w:rFonts w:ascii="Garamond" w:hAnsi="Garamond"/>
              </w:rPr>
            </w:pPr>
            <w:r>
              <w:rPr>
                <w:rFonts w:ascii="Garamond" w:hAnsi="Garamond"/>
              </w:rPr>
              <w:t xml:space="preserve">The Changing Role of Cities in Development </w:t>
            </w:r>
          </w:p>
        </w:tc>
        <w:tc>
          <w:tcPr>
            <w:tcW w:w="994" w:type="dxa"/>
            <w:vAlign w:val="center"/>
          </w:tcPr>
          <w:p w:rsidR="00042664" w:rsidRDefault="00042664" w:rsidP="00994475">
            <w:pPr>
              <w:rPr>
                <w:rFonts w:ascii="Garamond" w:hAnsi="Garamond"/>
              </w:rPr>
            </w:pPr>
            <w:r>
              <w:rPr>
                <w:rFonts w:ascii="Garamond" w:hAnsi="Garamond"/>
              </w:rPr>
              <w:t>Lecture</w:t>
            </w:r>
          </w:p>
        </w:tc>
        <w:tc>
          <w:tcPr>
            <w:tcW w:w="2087" w:type="dxa"/>
            <w:vMerge/>
            <w:vAlign w:val="center"/>
          </w:tcPr>
          <w:p w:rsidR="00042664" w:rsidRDefault="00042664" w:rsidP="00AA11A5">
            <w:pPr>
              <w:rPr>
                <w:rFonts w:ascii="Garamond" w:hAnsi="Garamond"/>
              </w:rPr>
            </w:pPr>
          </w:p>
        </w:tc>
      </w:tr>
      <w:tr w:rsidR="00042664" w:rsidTr="007D196E">
        <w:tc>
          <w:tcPr>
            <w:tcW w:w="741" w:type="dxa"/>
            <w:vMerge/>
            <w:vAlign w:val="center"/>
          </w:tcPr>
          <w:p w:rsidR="00042664" w:rsidRPr="00CF1A11" w:rsidRDefault="00042664" w:rsidP="00994475">
            <w:pPr>
              <w:rPr>
                <w:rFonts w:ascii="Garamond" w:hAnsi="Garamond"/>
              </w:rPr>
            </w:pPr>
          </w:p>
        </w:tc>
        <w:tc>
          <w:tcPr>
            <w:tcW w:w="5623" w:type="dxa"/>
            <w:gridSpan w:val="2"/>
            <w:vAlign w:val="center"/>
          </w:tcPr>
          <w:p w:rsidR="00042664" w:rsidRDefault="00042664" w:rsidP="00994475">
            <w:pPr>
              <w:rPr>
                <w:rFonts w:ascii="Garamond" w:hAnsi="Garamond"/>
              </w:rPr>
            </w:pPr>
            <w:r>
              <w:rPr>
                <w:rFonts w:ascii="Garamond" w:hAnsi="Garamond"/>
              </w:rPr>
              <w:t>Housing, Informality, and Poverty, in Developing Countries’ Cities</w:t>
            </w:r>
          </w:p>
        </w:tc>
        <w:tc>
          <w:tcPr>
            <w:tcW w:w="994" w:type="dxa"/>
            <w:vAlign w:val="center"/>
          </w:tcPr>
          <w:p w:rsidR="00042664" w:rsidRDefault="00042664" w:rsidP="00994475">
            <w:pPr>
              <w:rPr>
                <w:rFonts w:ascii="Garamond" w:hAnsi="Garamond"/>
              </w:rPr>
            </w:pPr>
            <w:r>
              <w:rPr>
                <w:rFonts w:ascii="Garamond" w:hAnsi="Garamond"/>
              </w:rPr>
              <w:t>Lecture</w:t>
            </w:r>
          </w:p>
        </w:tc>
        <w:tc>
          <w:tcPr>
            <w:tcW w:w="2087" w:type="dxa"/>
            <w:vMerge/>
            <w:vAlign w:val="center"/>
          </w:tcPr>
          <w:p w:rsidR="00042664" w:rsidRDefault="00042664" w:rsidP="00AA11A5">
            <w:pPr>
              <w:rPr>
                <w:rFonts w:ascii="Garamond" w:hAnsi="Garamond"/>
              </w:rPr>
            </w:pPr>
          </w:p>
        </w:tc>
      </w:tr>
      <w:tr w:rsidR="007726D3" w:rsidTr="007D196E">
        <w:tc>
          <w:tcPr>
            <w:tcW w:w="741" w:type="dxa"/>
            <w:vAlign w:val="center"/>
          </w:tcPr>
          <w:p w:rsidR="007726D3" w:rsidRPr="00CF1A11" w:rsidRDefault="007726D3" w:rsidP="007726D3">
            <w:pPr>
              <w:rPr>
                <w:rFonts w:ascii="Garamond" w:hAnsi="Garamond"/>
              </w:rPr>
            </w:pPr>
            <w:r>
              <w:rPr>
                <w:rFonts w:ascii="Garamond" w:hAnsi="Garamond"/>
              </w:rPr>
              <w:t>5</w:t>
            </w:r>
          </w:p>
        </w:tc>
        <w:tc>
          <w:tcPr>
            <w:tcW w:w="964" w:type="dxa"/>
            <w:vMerge w:val="restart"/>
            <w:textDirection w:val="btLr"/>
            <w:vAlign w:val="center"/>
          </w:tcPr>
          <w:p w:rsidR="007726D3" w:rsidRDefault="007726D3" w:rsidP="007726D3">
            <w:pPr>
              <w:ind w:left="113" w:right="113"/>
              <w:jc w:val="center"/>
              <w:rPr>
                <w:rFonts w:ascii="Garamond" w:hAnsi="Garamond"/>
              </w:rPr>
            </w:pPr>
            <w:r>
              <w:rPr>
                <w:rFonts w:ascii="Garamond" w:hAnsi="Garamond"/>
              </w:rPr>
              <w:t>1</w:t>
            </w:r>
            <w:r w:rsidRPr="00A250E0">
              <w:rPr>
                <w:rFonts w:ascii="Garamond" w:hAnsi="Garamond"/>
                <w:vertAlign w:val="superscript"/>
              </w:rPr>
              <w:t>st</w:t>
            </w:r>
            <w:r>
              <w:rPr>
                <w:rFonts w:ascii="Garamond" w:hAnsi="Garamond"/>
              </w:rPr>
              <w:t xml:space="preserve"> Research Project Presentation</w:t>
            </w:r>
          </w:p>
        </w:tc>
        <w:tc>
          <w:tcPr>
            <w:tcW w:w="4659" w:type="dxa"/>
            <w:vAlign w:val="center"/>
          </w:tcPr>
          <w:p w:rsidR="007726D3" w:rsidRDefault="007726D3" w:rsidP="007726D3">
            <w:pPr>
              <w:rPr>
                <w:rFonts w:ascii="Garamond" w:hAnsi="Garamond"/>
              </w:rPr>
            </w:pPr>
            <w:r>
              <w:rPr>
                <w:rFonts w:ascii="Garamond" w:hAnsi="Garamond"/>
              </w:rPr>
              <w:t>Urbanization and (de)Industrialization</w:t>
            </w:r>
          </w:p>
        </w:tc>
        <w:tc>
          <w:tcPr>
            <w:tcW w:w="994" w:type="dxa"/>
            <w:vMerge w:val="restart"/>
            <w:vAlign w:val="center"/>
          </w:tcPr>
          <w:p w:rsidR="007726D3" w:rsidRDefault="007726D3" w:rsidP="007726D3">
            <w:pPr>
              <w:rPr>
                <w:rFonts w:ascii="Garamond" w:hAnsi="Garamond"/>
              </w:rPr>
            </w:pPr>
            <w:r>
              <w:rPr>
                <w:rFonts w:ascii="Garamond" w:hAnsi="Garamond"/>
              </w:rPr>
              <w:t>Seminar - Type</w:t>
            </w:r>
          </w:p>
        </w:tc>
        <w:tc>
          <w:tcPr>
            <w:tcW w:w="2087" w:type="dxa"/>
            <w:vMerge w:val="restart"/>
            <w:vAlign w:val="center"/>
          </w:tcPr>
          <w:p w:rsidR="007726D3" w:rsidRDefault="007726D3" w:rsidP="007726D3">
            <w:pPr>
              <w:rPr>
                <w:rFonts w:ascii="Garamond" w:hAnsi="Garamond"/>
              </w:rPr>
            </w:pPr>
            <w:r w:rsidRPr="007D196E">
              <w:rPr>
                <w:rFonts w:ascii="Garamond" w:hAnsi="Garamond"/>
              </w:rPr>
              <w:t>Specific References (</w:t>
            </w:r>
            <w:r>
              <w:rPr>
                <w:rFonts w:ascii="Garamond" w:hAnsi="Garamond"/>
              </w:rPr>
              <w:t xml:space="preserve">including the ones proposed by the instructor, and the ones consulted by the students as part of their individual research projects) </w:t>
            </w:r>
          </w:p>
        </w:tc>
      </w:tr>
      <w:tr w:rsidR="007726D3" w:rsidTr="007D196E">
        <w:tc>
          <w:tcPr>
            <w:tcW w:w="741" w:type="dxa"/>
            <w:vAlign w:val="center"/>
          </w:tcPr>
          <w:p w:rsidR="007726D3" w:rsidRPr="00CF1A11" w:rsidRDefault="007726D3" w:rsidP="007726D3">
            <w:pPr>
              <w:rPr>
                <w:rFonts w:ascii="Garamond" w:hAnsi="Garamond"/>
              </w:rPr>
            </w:pPr>
            <w:r>
              <w:rPr>
                <w:rFonts w:ascii="Garamond" w:hAnsi="Garamond"/>
              </w:rPr>
              <w:t>6</w:t>
            </w:r>
          </w:p>
        </w:tc>
        <w:tc>
          <w:tcPr>
            <w:tcW w:w="964" w:type="dxa"/>
            <w:vMerge/>
            <w:textDirection w:val="btLr"/>
            <w:vAlign w:val="center"/>
          </w:tcPr>
          <w:p w:rsidR="007726D3" w:rsidRDefault="007726D3" w:rsidP="007726D3">
            <w:pPr>
              <w:ind w:left="113" w:right="113"/>
              <w:jc w:val="center"/>
              <w:rPr>
                <w:rFonts w:ascii="Garamond" w:hAnsi="Garamond"/>
              </w:rPr>
            </w:pPr>
          </w:p>
        </w:tc>
        <w:tc>
          <w:tcPr>
            <w:tcW w:w="4659" w:type="dxa"/>
            <w:vAlign w:val="center"/>
          </w:tcPr>
          <w:p w:rsidR="007726D3" w:rsidRDefault="007726D3" w:rsidP="007726D3">
            <w:pPr>
              <w:rPr>
                <w:rFonts w:ascii="Garamond" w:hAnsi="Garamond"/>
              </w:rPr>
            </w:pPr>
            <w:r>
              <w:rPr>
                <w:rFonts w:ascii="Garamond" w:hAnsi="Garamond"/>
              </w:rPr>
              <w:t xml:space="preserve">Urban Primacy </w:t>
            </w:r>
          </w:p>
        </w:tc>
        <w:tc>
          <w:tcPr>
            <w:tcW w:w="994" w:type="dxa"/>
            <w:vMerge/>
            <w:vAlign w:val="center"/>
          </w:tcPr>
          <w:p w:rsidR="007726D3" w:rsidRDefault="007726D3" w:rsidP="007726D3">
            <w:pPr>
              <w:rPr>
                <w:rFonts w:ascii="Garamond" w:hAnsi="Garamond"/>
              </w:rPr>
            </w:pPr>
          </w:p>
        </w:tc>
        <w:tc>
          <w:tcPr>
            <w:tcW w:w="2087" w:type="dxa"/>
            <w:vMerge/>
            <w:vAlign w:val="center"/>
          </w:tcPr>
          <w:p w:rsidR="007726D3" w:rsidRDefault="007726D3" w:rsidP="007726D3">
            <w:pPr>
              <w:rPr>
                <w:rFonts w:ascii="Garamond" w:hAnsi="Garamond"/>
              </w:rPr>
            </w:pPr>
          </w:p>
        </w:tc>
      </w:tr>
      <w:tr w:rsidR="007726D3" w:rsidTr="007D196E">
        <w:tc>
          <w:tcPr>
            <w:tcW w:w="741" w:type="dxa"/>
            <w:vAlign w:val="center"/>
          </w:tcPr>
          <w:p w:rsidR="007726D3" w:rsidRPr="00CF1A11" w:rsidRDefault="007726D3" w:rsidP="007726D3">
            <w:pPr>
              <w:rPr>
                <w:rFonts w:ascii="Garamond" w:hAnsi="Garamond"/>
              </w:rPr>
            </w:pPr>
            <w:r>
              <w:rPr>
                <w:rFonts w:ascii="Garamond" w:hAnsi="Garamond"/>
              </w:rPr>
              <w:t>7</w:t>
            </w:r>
          </w:p>
        </w:tc>
        <w:tc>
          <w:tcPr>
            <w:tcW w:w="964" w:type="dxa"/>
            <w:vMerge/>
            <w:textDirection w:val="btLr"/>
            <w:vAlign w:val="center"/>
          </w:tcPr>
          <w:p w:rsidR="007726D3" w:rsidRDefault="007726D3" w:rsidP="007726D3">
            <w:pPr>
              <w:ind w:left="113" w:right="113"/>
              <w:jc w:val="center"/>
              <w:rPr>
                <w:rFonts w:ascii="Garamond" w:hAnsi="Garamond"/>
              </w:rPr>
            </w:pPr>
          </w:p>
        </w:tc>
        <w:tc>
          <w:tcPr>
            <w:tcW w:w="4659" w:type="dxa"/>
            <w:vAlign w:val="center"/>
          </w:tcPr>
          <w:p w:rsidR="007726D3" w:rsidRDefault="007726D3" w:rsidP="007726D3">
            <w:pPr>
              <w:rPr>
                <w:rFonts w:ascii="Garamond" w:hAnsi="Garamond"/>
              </w:rPr>
            </w:pPr>
            <w:r>
              <w:rPr>
                <w:rFonts w:ascii="Garamond" w:hAnsi="Garamond"/>
              </w:rPr>
              <w:t>Informal Urbanization</w:t>
            </w:r>
          </w:p>
        </w:tc>
        <w:tc>
          <w:tcPr>
            <w:tcW w:w="994" w:type="dxa"/>
            <w:vMerge/>
            <w:vAlign w:val="center"/>
          </w:tcPr>
          <w:p w:rsidR="007726D3" w:rsidRDefault="007726D3" w:rsidP="007726D3">
            <w:pPr>
              <w:rPr>
                <w:rFonts w:ascii="Garamond" w:hAnsi="Garamond"/>
              </w:rPr>
            </w:pPr>
          </w:p>
        </w:tc>
        <w:tc>
          <w:tcPr>
            <w:tcW w:w="2087" w:type="dxa"/>
            <w:vMerge/>
            <w:vAlign w:val="center"/>
          </w:tcPr>
          <w:p w:rsidR="007726D3" w:rsidRDefault="007726D3" w:rsidP="007726D3">
            <w:pPr>
              <w:rPr>
                <w:rFonts w:ascii="Garamond" w:hAnsi="Garamond"/>
              </w:rPr>
            </w:pPr>
          </w:p>
        </w:tc>
      </w:tr>
      <w:tr w:rsidR="007726D3" w:rsidTr="007D196E">
        <w:tc>
          <w:tcPr>
            <w:tcW w:w="741" w:type="dxa"/>
            <w:vAlign w:val="center"/>
          </w:tcPr>
          <w:p w:rsidR="007726D3" w:rsidRPr="00CF1A11" w:rsidRDefault="007726D3" w:rsidP="007726D3">
            <w:pPr>
              <w:rPr>
                <w:rFonts w:ascii="Garamond" w:hAnsi="Garamond"/>
              </w:rPr>
            </w:pPr>
            <w:r>
              <w:rPr>
                <w:rFonts w:ascii="Garamond" w:hAnsi="Garamond"/>
              </w:rPr>
              <w:t>8</w:t>
            </w:r>
          </w:p>
        </w:tc>
        <w:tc>
          <w:tcPr>
            <w:tcW w:w="964" w:type="dxa"/>
            <w:vMerge/>
            <w:textDirection w:val="btLr"/>
            <w:vAlign w:val="center"/>
          </w:tcPr>
          <w:p w:rsidR="007726D3" w:rsidRDefault="007726D3" w:rsidP="007726D3">
            <w:pPr>
              <w:ind w:left="113" w:right="113"/>
              <w:jc w:val="center"/>
              <w:rPr>
                <w:rFonts w:ascii="Garamond" w:hAnsi="Garamond"/>
              </w:rPr>
            </w:pPr>
          </w:p>
        </w:tc>
        <w:tc>
          <w:tcPr>
            <w:tcW w:w="4659" w:type="dxa"/>
            <w:vAlign w:val="center"/>
          </w:tcPr>
          <w:p w:rsidR="007726D3" w:rsidRDefault="007726D3" w:rsidP="007726D3">
            <w:pPr>
              <w:rPr>
                <w:rFonts w:ascii="Garamond" w:hAnsi="Garamond"/>
              </w:rPr>
            </w:pPr>
            <w:r>
              <w:rPr>
                <w:rFonts w:ascii="Garamond" w:hAnsi="Garamond"/>
              </w:rPr>
              <w:t xml:space="preserve">Entrepreneurialism and Informality  </w:t>
            </w:r>
          </w:p>
        </w:tc>
        <w:tc>
          <w:tcPr>
            <w:tcW w:w="994" w:type="dxa"/>
            <w:vMerge/>
            <w:vAlign w:val="center"/>
          </w:tcPr>
          <w:p w:rsidR="007726D3" w:rsidRDefault="007726D3" w:rsidP="007726D3">
            <w:pPr>
              <w:rPr>
                <w:rFonts w:ascii="Garamond" w:hAnsi="Garamond"/>
              </w:rPr>
            </w:pPr>
          </w:p>
        </w:tc>
        <w:tc>
          <w:tcPr>
            <w:tcW w:w="2087" w:type="dxa"/>
            <w:vMerge/>
            <w:vAlign w:val="center"/>
          </w:tcPr>
          <w:p w:rsidR="007726D3" w:rsidRDefault="007726D3" w:rsidP="007726D3">
            <w:pPr>
              <w:rPr>
                <w:rFonts w:ascii="Garamond" w:hAnsi="Garamond"/>
              </w:rPr>
            </w:pPr>
          </w:p>
        </w:tc>
      </w:tr>
      <w:tr w:rsidR="007726D3" w:rsidTr="007D196E">
        <w:tc>
          <w:tcPr>
            <w:tcW w:w="741" w:type="dxa"/>
            <w:vAlign w:val="center"/>
          </w:tcPr>
          <w:p w:rsidR="007726D3" w:rsidRPr="00CF1A11" w:rsidRDefault="007726D3" w:rsidP="007726D3">
            <w:pPr>
              <w:rPr>
                <w:rFonts w:ascii="Garamond" w:hAnsi="Garamond"/>
              </w:rPr>
            </w:pPr>
            <w:r>
              <w:rPr>
                <w:rFonts w:ascii="Garamond" w:hAnsi="Garamond"/>
              </w:rPr>
              <w:t>9</w:t>
            </w:r>
          </w:p>
        </w:tc>
        <w:tc>
          <w:tcPr>
            <w:tcW w:w="964" w:type="dxa"/>
            <w:vMerge/>
            <w:textDirection w:val="btLr"/>
            <w:vAlign w:val="center"/>
          </w:tcPr>
          <w:p w:rsidR="007726D3" w:rsidRDefault="007726D3" w:rsidP="007726D3">
            <w:pPr>
              <w:ind w:left="113" w:right="113"/>
              <w:jc w:val="center"/>
              <w:rPr>
                <w:rFonts w:ascii="Garamond" w:hAnsi="Garamond"/>
              </w:rPr>
            </w:pPr>
          </w:p>
        </w:tc>
        <w:tc>
          <w:tcPr>
            <w:tcW w:w="4659" w:type="dxa"/>
            <w:vAlign w:val="center"/>
          </w:tcPr>
          <w:p w:rsidR="007726D3" w:rsidRDefault="007726D3" w:rsidP="007726D3">
            <w:pPr>
              <w:rPr>
                <w:rFonts w:ascii="Garamond" w:hAnsi="Garamond"/>
              </w:rPr>
            </w:pPr>
            <w:r>
              <w:rPr>
                <w:rFonts w:ascii="Garamond" w:hAnsi="Garamond"/>
              </w:rPr>
              <w:t>Popular Housing</w:t>
            </w:r>
          </w:p>
        </w:tc>
        <w:tc>
          <w:tcPr>
            <w:tcW w:w="994" w:type="dxa"/>
            <w:vMerge/>
            <w:vAlign w:val="center"/>
          </w:tcPr>
          <w:p w:rsidR="007726D3" w:rsidRDefault="007726D3" w:rsidP="007726D3">
            <w:pPr>
              <w:rPr>
                <w:rFonts w:ascii="Garamond" w:hAnsi="Garamond"/>
              </w:rPr>
            </w:pPr>
          </w:p>
        </w:tc>
        <w:tc>
          <w:tcPr>
            <w:tcW w:w="2087" w:type="dxa"/>
            <w:vMerge/>
            <w:vAlign w:val="center"/>
          </w:tcPr>
          <w:p w:rsidR="007726D3" w:rsidRDefault="007726D3" w:rsidP="007726D3">
            <w:pPr>
              <w:rPr>
                <w:rFonts w:ascii="Garamond" w:hAnsi="Garamond"/>
              </w:rPr>
            </w:pPr>
          </w:p>
        </w:tc>
      </w:tr>
      <w:tr w:rsidR="007726D3" w:rsidTr="007D196E">
        <w:tc>
          <w:tcPr>
            <w:tcW w:w="741" w:type="dxa"/>
            <w:vAlign w:val="center"/>
          </w:tcPr>
          <w:p w:rsidR="007726D3" w:rsidRPr="00CF1A11" w:rsidRDefault="007726D3" w:rsidP="007726D3">
            <w:pPr>
              <w:rPr>
                <w:rFonts w:ascii="Garamond" w:hAnsi="Garamond"/>
              </w:rPr>
            </w:pPr>
            <w:r w:rsidRPr="00CF1A11">
              <w:rPr>
                <w:rFonts w:ascii="Garamond" w:hAnsi="Garamond"/>
              </w:rPr>
              <w:t>1</w:t>
            </w:r>
            <w:r>
              <w:rPr>
                <w:rFonts w:ascii="Garamond" w:hAnsi="Garamond"/>
              </w:rPr>
              <w:t>0</w:t>
            </w:r>
          </w:p>
        </w:tc>
        <w:tc>
          <w:tcPr>
            <w:tcW w:w="964" w:type="dxa"/>
            <w:vMerge/>
            <w:textDirection w:val="btLr"/>
            <w:vAlign w:val="center"/>
          </w:tcPr>
          <w:p w:rsidR="007726D3" w:rsidRDefault="007726D3" w:rsidP="007726D3">
            <w:pPr>
              <w:ind w:left="113" w:right="113"/>
              <w:jc w:val="center"/>
              <w:rPr>
                <w:rFonts w:ascii="Garamond" w:hAnsi="Garamond"/>
              </w:rPr>
            </w:pPr>
          </w:p>
        </w:tc>
        <w:tc>
          <w:tcPr>
            <w:tcW w:w="4659" w:type="dxa"/>
            <w:vAlign w:val="center"/>
          </w:tcPr>
          <w:p w:rsidR="007726D3" w:rsidRDefault="007726D3" w:rsidP="007726D3">
            <w:pPr>
              <w:rPr>
                <w:rFonts w:ascii="Garamond" w:hAnsi="Garamond"/>
              </w:rPr>
            </w:pPr>
            <w:r>
              <w:rPr>
                <w:rFonts w:ascii="Garamond" w:hAnsi="Garamond"/>
              </w:rPr>
              <w:t>Globalization: Challenges and Opportunities</w:t>
            </w:r>
          </w:p>
        </w:tc>
        <w:tc>
          <w:tcPr>
            <w:tcW w:w="994" w:type="dxa"/>
            <w:vMerge/>
            <w:vAlign w:val="center"/>
          </w:tcPr>
          <w:p w:rsidR="007726D3" w:rsidRDefault="007726D3" w:rsidP="007726D3">
            <w:pPr>
              <w:rPr>
                <w:rFonts w:ascii="Garamond" w:hAnsi="Garamond"/>
              </w:rPr>
            </w:pPr>
          </w:p>
        </w:tc>
        <w:tc>
          <w:tcPr>
            <w:tcW w:w="2087" w:type="dxa"/>
            <w:vMerge/>
            <w:vAlign w:val="center"/>
          </w:tcPr>
          <w:p w:rsidR="007726D3" w:rsidRDefault="007726D3" w:rsidP="007726D3">
            <w:pPr>
              <w:rPr>
                <w:rFonts w:ascii="Garamond" w:hAnsi="Garamond"/>
              </w:rPr>
            </w:pPr>
          </w:p>
        </w:tc>
      </w:tr>
      <w:tr w:rsidR="007726D3" w:rsidTr="007D196E">
        <w:tc>
          <w:tcPr>
            <w:tcW w:w="741" w:type="dxa"/>
            <w:vAlign w:val="center"/>
          </w:tcPr>
          <w:p w:rsidR="007726D3" w:rsidRPr="00CF1A11" w:rsidRDefault="007726D3" w:rsidP="007726D3">
            <w:pPr>
              <w:rPr>
                <w:rFonts w:ascii="Garamond" w:hAnsi="Garamond"/>
              </w:rPr>
            </w:pPr>
            <w:r w:rsidRPr="00CF1A11">
              <w:rPr>
                <w:rFonts w:ascii="Garamond" w:hAnsi="Garamond"/>
              </w:rPr>
              <w:t>1</w:t>
            </w:r>
            <w:r>
              <w:rPr>
                <w:rFonts w:ascii="Garamond" w:hAnsi="Garamond"/>
              </w:rPr>
              <w:t>1</w:t>
            </w:r>
          </w:p>
        </w:tc>
        <w:tc>
          <w:tcPr>
            <w:tcW w:w="964" w:type="dxa"/>
            <w:vMerge w:val="restart"/>
            <w:textDirection w:val="btLr"/>
            <w:vAlign w:val="center"/>
          </w:tcPr>
          <w:p w:rsidR="007726D3" w:rsidRDefault="007726D3" w:rsidP="007726D3">
            <w:pPr>
              <w:ind w:left="113" w:right="113"/>
              <w:jc w:val="center"/>
              <w:rPr>
                <w:rFonts w:ascii="Garamond" w:hAnsi="Garamond"/>
              </w:rPr>
            </w:pPr>
            <w:r>
              <w:rPr>
                <w:rFonts w:ascii="Garamond" w:hAnsi="Garamond"/>
              </w:rPr>
              <w:t>2</w:t>
            </w:r>
            <w:r w:rsidRPr="00A250E0">
              <w:rPr>
                <w:rFonts w:ascii="Garamond" w:hAnsi="Garamond"/>
                <w:vertAlign w:val="superscript"/>
              </w:rPr>
              <w:t>nd</w:t>
            </w:r>
            <w:r>
              <w:rPr>
                <w:rFonts w:ascii="Garamond" w:hAnsi="Garamond"/>
              </w:rPr>
              <w:t xml:space="preserve"> Research Project Presentation</w:t>
            </w:r>
          </w:p>
        </w:tc>
        <w:tc>
          <w:tcPr>
            <w:tcW w:w="4659" w:type="dxa"/>
            <w:vAlign w:val="center"/>
          </w:tcPr>
          <w:p w:rsidR="007726D3" w:rsidRDefault="007726D3" w:rsidP="007726D3">
            <w:pPr>
              <w:rPr>
                <w:rFonts w:ascii="Garamond" w:hAnsi="Garamond"/>
              </w:rPr>
            </w:pPr>
            <w:r>
              <w:rPr>
                <w:rFonts w:ascii="Garamond" w:hAnsi="Garamond"/>
              </w:rPr>
              <w:t>Urbanization and (de)Industrialization</w:t>
            </w:r>
          </w:p>
        </w:tc>
        <w:tc>
          <w:tcPr>
            <w:tcW w:w="994" w:type="dxa"/>
            <w:vMerge/>
            <w:vAlign w:val="center"/>
          </w:tcPr>
          <w:p w:rsidR="007726D3" w:rsidRDefault="007726D3" w:rsidP="007726D3">
            <w:pPr>
              <w:rPr>
                <w:rFonts w:ascii="Garamond" w:hAnsi="Garamond"/>
              </w:rPr>
            </w:pPr>
          </w:p>
        </w:tc>
        <w:tc>
          <w:tcPr>
            <w:tcW w:w="2087" w:type="dxa"/>
            <w:vMerge/>
            <w:vAlign w:val="center"/>
          </w:tcPr>
          <w:p w:rsidR="007726D3" w:rsidRDefault="007726D3" w:rsidP="007726D3">
            <w:pPr>
              <w:rPr>
                <w:rFonts w:ascii="Garamond" w:hAnsi="Garamond"/>
              </w:rPr>
            </w:pPr>
          </w:p>
        </w:tc>
      </w:tr>
      <w:tr w:rsidR="007726D3" w:rsidTr="007D196E">
        <w:tc>
          <w:tcPr>
            <w:tcW w:w="741" w:type="dxa"/>
            <w:vAlign w:val="center"/>
          </w:tcPr>
          <w:p w:rsidR="007726D3" w:rsidRPr="00CF1A11" w:rsidRDefault="007726D3" w:rsidP="007726D3">
            <w:pPr>
              <w:rPr>
                <w:rFonts w:ascii="Garamond" w:hAnsi="Garamond"/>
              </w:rPr>
            </w:pPr>
            <w:r w:rsidRPr="00CF1A11">
              <w:rPr>
                <w:rFonts w:ascii="Garamond" w:hAnsi="Garamond"/>
              </w:rPr>
              <w:t>1</w:t>
            </w:r>
            <w:r>
              <w:rPr>
                <w:rFonts w:ascii="Garamond" w:hAnsi="Garamond"/>
              </w:rPr>
              <w:t>2</w:t>
            </w:r>
          </w:p>
        </w:tc>
        <w:tc>
          <w:tcPr>
            <w:tcW w:w="964" w:type="dxa"/>
            <w:vMerge/>
            <w:vAlign w:val="center"/>
          </w:tcPr>
          <w:p w:rsidR="007726D3" w:rsidRDefault="007726D3" w:rsidP="007726D3">
            <w:pPr>
              <w:rPr>
                <w:rFonts w:ascii="Garamond" w:hAnsi="Garamond"/>
              </w:rPr>
            </w:pPr>
          </w:p>
        </w:tc>
        <w:tc>
          <w:tcPr>
            <w:tcW w:w="4659" w:type="dxa"/>
            <w:vAlign w:val="center"/>
          </w:tcPr>
          <w:p w:rsidR="007726D3" w:rsidRDefault="007726D3" w:rsidP="007726D3">
            <w:pPr>
              <w:rPr>
                <w:rFonts w:ascii="Garamond" w:hAnsi="Garamond"/>
              </w:rPr>
            </w:pPr>
            <w:r>
              <w:rPr>
                <w:rFonts w:ascii="Garamond" w:hAnsi="Garamond"/>
              </w:rPr>
              <w:t xml:space="preserve">Urban Primacy </w:t>
            </w:r>
          </w:p>
        </w:tc>
        <w:tc>
          <w:tcPr>
            <w:tcW w:w="994" w:type="dxa"/>
            <w:vMerge/>
            <w:vAlign w:val="center"/>
          </w:tcPr>
          <w:p w:rsidR="007726D3" w:rsidRDefault="007726D3" w:rsidP="007726D3">
            <w:pPr>
              <w:rPr>
                <w:rFonts w:ascii="Garamond" w:hAnsi="Garamond"/>
              </w:rPr>
            </w:pPr>
          </w:p>
        </w:tc>
        <w:tc>
          <w:tcPr>
            <w:tcW w:w="2087" w:type="dxa"/>
            <w:vMerge/>
            <w:vAlign w:val="center"/>
          </w:tcPr>
          <w:p w:rsidR="007726D3" w:rsidRDefault="007726D3" w:rsidP="007726D3">
            <w:pPr>
              <w:rPr>
                <w:rFonts w:ascii="Garamond" w:hAnsi="Garamond"/>
              </w:rPr>
            </w:pPr>
          </w:p>
        </w:tc>
      </w:tr>
      <w:tr w:rsidR="007726D3" w:rsidTr="007D196E">
        <w:tc>
          <w:tcPr>
            <w:tcW w:w="741" w:type="dxa"/>
            <w:vAlign w:val="center"/>
          </w:tcPr>
          <w:p w:rsidR="007726D3" w:rsidRPr="00CF1A11" w:rsidRDefault="007726D3" w:rsidP="007726D3">
            <w:pPr>
              <w:rPr>
                <w:rFonts w:ascii="Garamond" w:hAnsi="Garamond"/>
              </w:rPr>
            </w:pPr>
            <w:r w:rsidRPr="00CF1A11">
              <w:rPr>
                <w:rFonts w:ascii="Garamond" w:hAnsi="Garamond"/>
              </w:rPr>
              <w:t>1</w:t>
            </w:r>
            <w:r>
              <w:rPr>
                <w:rFonts w:ascii="Garamond" w:hAnsi="Garamond"/>
              </w:rPr>
              <w:t>3</w:t>
            </w:r>
          </w:p>
        </w:tc>
        <w:tc>
          <w:tcPr>
            <w:tcW w:w="964" w:type="dxa"/>
            <w:vMerge/>
            <w:vAlign w:val="center"/>
          </w:tcPr>
          <w:p w:rsidR="007726D3" w:rsidRDefault="007726D3" w:rsidP="007726D3">
            <w:pPr>
              <w:rPr>
                <w:rFonts w:ascii="Garamond" w:hAnsi="Garamond"/>
              </w:rPr>
            </w:pPr>
          </w:p>
        </w:tc>
        <w:tc>
          <w:tcPr>
            <w:tcW w:w="4659" w:type="dxa"/>
            <w:vAlign w:val="center"/>
          </w:tcPr>
          <w:p w:rsidR="007726D3" w:rsidRDefault="007726D3" w:rsidP="007726D3">
            <w:pPr>
              <w:rPr>
                <w:rFonts w:ascii="Garamond" w:hAnsi="Garamond"/>
              </w:rPr>
            </w:pPr>
            <w:r>
              <w:rPr>
                <w:rFonts w:ascii="Garamond" w:hAnsi="Garamond"/>
              </w:rPr>
              <w:t>Informal Urbanization</w:t>
            </w:r>
          </w:p>
        </w:tc>
        <w:tc>
          <w:tcPr>
            <w:tcW w:w="994" w:type="dxa"/>
            <w:vMerge/>
            <w:vAlign w:val="center"/>
          </w:tcPr>
          <w:p w:rsidR="007726D3" w:rsidRDefault="007726D3" w:rsidP="007726D3">
            <w:pPr>
              <w:rPr>
                <w:rFonts w:ascii="Garamond" w:hAnsi="Garamond"/>
              </w:rPr>
            </w:pPr>
          </w:p>
        </w:tc>
        <w:tc>
          <w:tcPr>
            <w:tcW w:w="2087" w:type="dxa"/>
            <w:vMerge/>
            <w:vAlign w:val="center"/>
          </w:tcPr>
          <w:p w:rsidR="007726D3" w:rsidRDefault="007726D3" w:rsidP="007726D3">
            <w:pPr>
              <w:rPr>
                <w:rFonts w:ascii="Garamond" w:hAnsi="Garamond"/>
              </w:rPr>
            </w:pPr>
          </w:p>
        </w:tc>
      </w:tr>
      <w:tr w:rsidR="007726D3" w:rsidTr="007D196E">
        <w:tc>
          <w:tcPr>
            <w:tcW w:w="741" w:type="dxa"/>
            <w:vAlign w:val="center"/>
          </w:tcPr>
          <w:p w:rsidR="007726D3" w:rsidRPr="00CF1A11" w:rsidRDefault="007726D3" w:rsidP="007726D3">
            <w:pPr>
              <w:rPr>
                <w:rFonts w:ascii="Garamond" w:hAnsi="Garamond"/>
              </w:rPr>
            </w:pPr>
            <w:r>
              <w:rPr>
                <w:rFonts w:ascii="Garamond" w:hAnsi="Garamond"/>
              </w:rPr>
              <w:t>14</w:t>
            </w:r>
          </w:p>
        </w:tc>
        <w:tc>
          <w:tcPr>
            <w:tcW w:w="964" w:type="dxa"/>
            <w:vMerge/>
            <w:vAlign w:val="center"/>
          </w:tcPr>
          <w:p w:rsidR="007726D3" w:rsidRDefault="007726D3" w:rsidP="007726D3">
            <w:pPr>
              <w:rPr>
                <w:rFonts w:ascii="Garamond" w:hAnsi="Garamond"/>
              </w:rPr>
            </w:pPr>
          </w:p>
        </w:tc>
        <w:tc>
          <w:tcPr>
            <w:tcW w:w="4659" w:type="dxa"/>
            <w:vAlign w:val="center"/>
          </w:tcPr>
          <w:p w:rsidR="007726D3" w:rsidRDefault="007726D3" w:rsidP="007726D3">
            <w:pPr>
              <w:rPr>
                <w:rFonts w:ascii="Garamond" w:hAnsi="Garamond"/>
              </w:rPr>
            </w:pPr>
            <w:r>
              <w:rPr>
                <w:rFonts w:ascii="Garamond" w:hAnsi="Garamond"/>
              </w:rPr>
              <w:t xml:space="preserve">Entrepreneurialism and Informality  </w:t>
            </w:r>
          </w:p>
        </w:tc>
        <w:tc>
          <w:tcPr>
            <w:tcW w:w="994" w:type="dxa"/>
            <w:vMerge/>
            <w:vAlign w:val="center"/>
          </w:tcPr>
          <w:p w:rsidR="007726D3" w:rsidRDefault="007726D3" w:rsidP="007726D3">
            <w:pPr>
              <w:rPr>
                <w:rFonts w:ascii="Garamond" w:hAnsi="Garamond"/>
              </w:rPr>
            </w:pPr>
          </w:p>
        </w:tc>
        <w:tc>
          <w:tcPr>
            <w:tcW w:w="2087" w:type="dxa"/>
            <w:vMerge/>
            <w:vAlign w:val="center"/>
          </w:tcPr>
          <w:p w:rsidR="007726D3" w:rsidRDefault="007726D3" w:rsidP="007726D3">
            <w:pPr>
              <w:rPr>
                <w:rFonts w:ascii="Garamond" w:hAnsi="Garamond"/>
              </w:rPr>
            </w:pPr>
          </w:p>
        </w:tc>
      </w:tr>
      <w:tr w:rsidR="007726D3" w:rsidTr="007D196E">
        <w:tc>
          <w:tcPr>
            <w:tcW w:w="741" w:type="dxa"/>
            <w:vAlign w:val="center"/>
          </w:tcPr>
          <w:p w:rsidR="007726D3" w:rsidRPr="00CF1A11" w:rsidRDefault="007726D3" w:rsidP="007726D3">
            <w:pPr>
              <w:rPr>
                <w:rFonts w:ascii="Garamond" w:hAnsi="Garamond"/>
              </w:rPr>
            </w:pPr>
            <w:r w:rsidRPr="00CF1A11">
              <w:rPr>
                <w:rFonts w:ascii="Garamond" w:hAnsi="Garamond"/>
              </w:rPr>
              <w:t>15</w:t>
            </w:r>
          </w:p>
        </w:tc>
        <w:tc>
          <w:tcPr>
            <w:tcW w:w="964" w:type="dxa"/>
            <w:vMerge/>
            <w:vAlign w:val="center"/>
          </w:tcPr>
          <w:p w:rsidR="007726D3" w:rsidRDefault="007726D3" w:rsidP="007726D3">
            <w:pPr>
              <w:rPr>
                <w:rFonts w:ascii="Garamond" w:hAnsi="Garamond"/>
              </w:rPr>
            </w:pPr>
          </w:p>
        </w:tc>
        <w:tc>
          <w:tcPr>
            <w:tcW w:w="4659" w:type="dxa"/>
            <w:vAlign w:val="center"/>
          </w:tcPr>
          <w:p w:rsidR="007726D3" w:rsidRDefault="007726D3" w:rsidP="007726D3">
            <w:pPr>
              <w:rPr>
                <w:rFonts w:ascii="Garamond" w:hAnsi="Garamond"/>
              </w:rPr>
            </w:pPr>
            <w:r>
              <w:rPr>
                <w:rFonts w:ascii="Garamond" w:hAnsi="Garamond"/>
              </w:rPr>
              <w:t>Popular Housing</w:t>
            </w:r>
          </w:p>
        </w:tc>
        <w:tc>
          <w:tcPr>
            <w:tcW w:w="994" w:type="dxa"/>
            <w:vMerge/>
            <w:vAlign w:val="center"/>
          </w:tcPr>
          <w:p w:rsidR="007726D3" w:rsidRDefault="007726D3" w:rsidP="007726D3">
            <w:pPr>
              <w:rPr>
                <w:rFonts w:ascii="Garamond" w:hAnsi="Garamond"/>
              </w:rPr>
            </w:pPr>
          </w:p>
        </w:tc>
        <w:tc>
          <w:tcPr>
            <w:tcW w:w="2087" w:type="dxa"/>
            <w:vMerge/>
            <w:vAlign w:val="center"/>
          </w:tcPr>
          <w:p w:rsidR="007726D3" w:rsidRDefault="007726D3" w:rsidP="007726D3">
            <w:pPr>
              <w:rPr>
                <w:rFonts w:ascii="Garamond" w:hAnsi="Garamond"/>
              </w:rPr>
            </w:pPr>
          </w:p>
        </w:tc>
      </w:tr>
      <w:tr w:rsidR="007726D3" w:rsidTr="007D196E">
        <w:tc>
          <w:tcPr>
            <w:tcW w:w="741" w:type="dxa"/>
            <w:vAlign w:val="center"/>
          </w:tcPr>
          <w:p w:rsidR="007726D3" w:rsidRPr="00CF1A11" w:rsidRDefault="007726D3" w:rsidP="007726D3">
            <w:pPr>
              <w:rPr>
                <w:rFonts w:ascii="Garamond" w:hAnsi="Garamond"/>
              </w:rPr>
            </w:pPr>
            <w:r w:rsidRPr="00CF1A11">
              <w:rPr>
                <w:rFonts w:ascii="Garamond" w:hAnsi="Garamond"/>
              </w:rPr>
              <w:t>16</w:t>
            </w:r>
          </w:p>
        </w:tc>
        <w:tc>
          <w:tcPr>
            <w:tcW w:w="964" w:type="dxa"/>
            <w:vMerge/>
            <w:vAlign w:val="center"/>
          </w:tcPr>
          <w:p w:rsidR="007726D3" w:rsidRDefault="007726D3" w:rsidP="007726D3">
            <w:pPr>
              <w:rPr>
                <w:rFonts w:ascii="Garamond" w:hAnsi="Garamond"/>
              </w:rPr>
            </w:pPr>
          </w:p>
        </w:tc>
        <w:tc>
          <w:tcPr>
            <w:tcW w:w="4659" w:type="dxa"/>
            <w:vAlign w:val="center"/>
          </w:tcPr>
          <w:p w:rsidR="007726D3" w:rsidRDefault="007726D3" w:rsidP="007726D3">
            <w:pPr>
              <w:rPr>
                <w:rFonts w:ascii="Garamond" w:hAnsi="Garamond"/>
              </w:rPr>
            </w:pPr>
            <w:r>
              <w:rPr>
                <w:rFonts w:ascii="Garamond" w:hAnsi="Garamond"/>
              </w:rPr>
              <w:t>Globalization: Challenges and Opportunities</w:t>
            </w:r>
          </w:p>
        </w:tc>
        <w:tc>
          <w:tcPr>
            <w:tcW w:w="994" w:type="dxa"/>
            <w:vMerge/>
            <w:vAlign w:val="center"/>
          </w:tcPr>
          <w:p w:rsidR="007726D3" w:rsidRDefault="007726D3" w:rsidP="007726D3">
            <w:pPr>
              <w:rPr>
                <w:rFonts w:ascii="Garamond" w:hAnsi="Garamond"/>
              </w:rPr>
            </w:pPr>
          </w:p>
        </w:tc>
        <w:tc>
          <w:tcPr>
            <w:tcW w:w="2087" w:type="dxa"/>
            <w:vMerge/>
            <w:vAlign w:val="center"/>
          </w:tcPr>
          <w:p w:rsidR="007726D3" w:rsidRDefault="007726D3" w:rsidP="007726D3">
            <w:pPr>
              <w:rPr>
                <w:rFonts w:ascii="Garamond" w:hAnsi="Garamond"/>
              </w:rPr>
            </w:pPr>
          </w:p>
        </w:tc>
      </w:tr>
      <w:tr w:rsidR="007726D3" w:rsidTr="007D196E">
        <w:tc>
          <w:tcPr>
            <w:tcW w:w="1705" w:type="dxa"/>
            <w:gridSpan w:val="2"/>
            <w:vAlign w:val="center"/>
          </w:tcPr>
          <w:p w:rsidR="007726D3" w:rsidRPr="00CF1A11" w:rsidRDefault="007726D3" w:rsidP="007726D3">
            <w:pPr>
              <w:rPr>
                <w:rFonts w:ascii="Garamond" w:hAnsi="Garamond"/>
              </w:rPr>
            </w:pPr>
            <w:r w:rsidRPr="00CF1A11">
              <w:rPr>
                <w:rFonts w:ascii="Garamond" w:hAnsi="Garamond"/>
              </w:rPr>
              <w:t>Exam week</w:t>
            </w:r>
          </w:p>
        </w:tc>
        <w:tc>
          <w:tcPr>
            <w:tcW w:w="7740" w:type="dxa"/>
            <w:gridSpan w:val="3"/>
            <w:vAlign w:val="center"/>
          </w:tcPr>
          <w:p w:rsidR="007726D3" w:rsidRPr="002C2AAF" w:rsidRDefault="007726D3" w:rsidP="007726D3">
            <w:pPr>
              <w:jc w:val="center"/>
              <w:rPr>
                <w:rFonts w:ascii="Garamond" w:hAnsi="Garamond"/>
                <w:i/>
              </w:rPr>
            </w:pPr>
            <w:r w:rsidRPr="002C2AAF">
              <w:rPr>
                <w:rFonts w:ascii="Garamond" w:hAnsi="Garamond"/>
                <w:i/>
              </w:rPr>
              <w:t>Delivery of final research paper</w:t>
            </w:r>
          </w:p>
        </w:tc>
      </w:tr>
    </w:tbl>
    <w:p w:rsidR="002E7DFA" w:rsidRPr="002E7DFA" w:rsidRDefault="002E7DFA" w:rsidP="00DB1852">
      <w:pPr>
        <w:spacing w:line="360" w:lineRule="auto"/>
        <w:rPr>
          <w:rFonts w:ascii="Garamond" w:hAnsi="Garamond"/>
        </w:rPr>
      </w:pPr>
    </w:p>
    <w:p w:rsidR="00DB1852" w:rsidRPr="00F32418" w:rsidRDefault="00DB1852" w:rsidP="00DB1852">
      <w:pPr>
        <w:spacing w:line="360" w:lineRule="auto"/>
        <w:rPr>
          <w:rFonts w:ascii="Garamond" w:hAnsi="Garamond"/>
        </w:rPr>
      </w:pPr>
    </w:p>
    <w:p w:rsidR="00FC59CD" w:rsidRPr="00312C83" w:rsidRDefault="00D41DB3">
      <w:pPr>
        <w:rPr>
          <w:rFonts w:ascii="Garamond" w:hAnsi="Garamond"/>
          <w:b/>
          <w:sz w:val="28"/>
          <w:szCs w:val="28"/>
        </w:rPr>
      </w:pPr>
      <w:r w:rsidRPr="00312C83">
        <w:rPr>
          <w:rFonts w:ascii="Garamond" w:hAnsi="Garamond"/>
          <w:b/>
          <w:sz w:val="28"/>
          <w:szCs w:val="28"/>
        </w:rPr>
        <w:t xml:space="preserve">General </w:t>
      </w:r>
      <w:r w:rsidR="001840BE" w:rsidRPr="00312C83">
        <w:rPr>
          <w:rFonts w:ascii="Garamond" w:hAnsi="Garamond"/>
          <w:b/>
          <w:sz w:val="28"/>
          <w:szCs w:val="28"/>
        </w:rPr>
        <w:t>References</w:t>
      </w:r>
    </w:p>
    <w:p w:rsidR="00A250E0" w:rsidRDefault="00A250E0">
      <w:pPr>
        <w:rPr>
          <w:rFonts w:ascii="Garamond" w:hAnsi="Garamond"/>
          <w:b/>
        </w:rPr>
      </w:pPr>
    </w:p>
    <w:p w:rsidR="0090074D" w:rsidRDefault="0090074D" w:rsidP="0090074D">
      <w:pPr>
        <w:pStyle w:val="ListParagraph"/>
        <w:numPr>
          <w:ilvl w:val="0"/>
          <w:numId w:val="11"/>
        </w:numPr>
        <w:rPr>
          <w:rFonts w:ascii="Garamond" w:hAnsi="Garamond"/>
        </w:rPr>
      </w:pPr>
      <w:r w:rsidRPr="0090074D">
        <w:rPr>
          <w:rFonts w:ascii="Garamond" w:hAnsi="Garamond"/>
        </w:rPr>
        <w:t xml:space="preserve">World Bank (2009), </w:t>
      </w:r>
      <w:r w:rsidRPr="0090074D">
        <w:rPr>
          <w:rFonts w:ascii="Garamond" w:hAnsi="Garamond"/>
          <w:i/>
        </w:rPr>
        <w:t>Slums and Money: A Socioeconomic Analysis</w:t>
      </w:r>
      <w:r w:rsidRPr="0090074D">
        <w:rPr>
          <w:rFonts w:ascii="Garamond" w:hAnsi="Garamond"/>
        </w:rPr>
        <w:t xml:space="preserve">. TVE International. Films on Demand – </w:t>
      </w:r>
      <w:proofErr w:type="spellStart"/>
      <w:r w:rsidRPr="0090074D">
        <w:rPr>
          <w:rFonts w:ascii="Garamond" w:hAnsi="Garamond"/>
        </w:rPr>
        <w:t>GaTech</w:t>
      </w:r>
      <w:proofErr w:type="spellEnd"/>
      <w:r w:rsidRPr="0090074D">
        <w:rPr>
          <w:rFonts w:ascii="Garamond" w:hAnsi="Garamond"/>
        </w:rPr>
        <w:t xml:space="preserve"> Library: Films on Demand.</w:t>
      </w:r>
    </w:p>
    <w:p w:rsidR="0090074D" w:rsidRPr="0090074D" w:rsidRDefault="0090074D" w:rsidP="0090074D">
      <w:pPr>
        <w:pStyle w:val="ListParagraph"/>
        <w:ind w:left="360"/>
        <w:rPr>
          <w:rFonts w:ascii="Garamond" w:hAnsi="Garamond"/>
        </w:rPr>
      </w:pPr>
    </w:p>
    <w:p w:rsidR="0090074D" w:rsidRDefault="0090074D" w:rsidP="0090074D">
      <w:pPr>
        <w:pStyle w:val="ListParagraph"/>
        <w:numPr>
          <w:ilvl w:val="0"/>
          <w:numId w:val="11"/>
        </w:numPr>
        <w:jc w:val="both"/>
        <w:rPr>
          <w:rFonts w:ascii="Garamond" w:hAnsi="Garamond"/>
        </w:rPr>
      </w:pPr>
      <w:proofErr w:type="spellStart"/>
      <w:r w:rsidRPr="0090074D">
        <w:rPr>
          <w:rFonts w:ascii="Garamond" w:hAnsi="Garamond"/>
        </w:rPr>
        <w:t>Malpezzi</w:t>
      </w:r>
      <w:proofErr w:type="spellEnd"/>
      <w:r w:rsidRPr="0090074D">
        <w:rPr>
          <w:rFonts w:ascii="Garamond" w:hAnsi="Garamond"/>
        </w:rPr>
        <w:t xml:space="preserve">, S. (2006), </w:t>
      </w:r>
      <w:r w:rsidRPr="0090074D">
        <w:rPr>
          <w:rFonts w:ascii="Garamond" w:hAnsi="Garamond"/>
          <w:i/>
        </w:rPr>
        <w:t>Cross-country patterns of urban development</w:t>
      </w:r>
      <w:r w:rsidRPr="0090074D">
        <w:rPr>
          <w:rFonts w:ascii="Garamond" w:hAnsi="Garamond"/>
        </w:rPr>
        <w:t xml:space="preserve">. Arnott, R. &amp; D. </w:t>
      </w:r>
      <w:proofErr w:type="spellStart"/>
      <w:r w:rsidRPr="0090074D">
        <w:rPr>
          <w:rFonts w:ascii="Garamond" w:hAnsi="Garamond"/>
        </w:rPr>
        <w:t>McMillen</w:t>
      </w:r>
      <w:proofErr w:type="spellEnd"/>
      <w:r w:rsidRPr="0090074D">
        <w:rPr>
          <w:rFonts w:ascii="Garamond" w:hAnsi="Garamond"/>
        </w:rPr>
        <w:t xml:space="preserve"> (</w:t>
      </w:r>
      <w:proofErr w:type="spellStart"/>
      <w:proofErr w:type="gramStart"/>
      <w:r w:rsidRPr="0090074D">
        <w:rPr>
          <w:rFonts w:ascii="Garamond" w:hAnsi="Garamond"/>
        </w:rPr>
        <w:t>eds</w:t>
      </w:r>
      <w:proofErr w:type="spellEnd"/>
      <w:proofErr w:type="gramEnd"/>
      <w:r w:rsidRPr="0090074D">
        <w:rPr>
          <w:rFonts w:ascii="Garamond" w:hAnsi="Garamond"/>
        </w:rPr>
        <w:t>), A Companion to Urban Economics. Blackwell Publishing Ltd, Malden MA.</w:t>
      </w:r>
    </w:p>
    <w:p w:rsidR="0090074D" w:rsidRPr="0090074D" w:rsidRDefault="0090074D" w:rsidP="0090074D">
      <w:pPr>
        <w:pStyle w:val="ListParagraph"/>
        <w:ind w:left="360"/>
        <w:jc w:val="both"/>
        <w:rPr>
          <w:rFonts w:ascii="Garamond" w:hAnsi="Garamond"/>
        </w:rPr>
      </w:pPr>
    </w:p>
    <w:p w:rsidR="0090074D" w:rsidRDefault="0090074D" w:rsidP="0090074D">
      <w:pPr>
        <w:pStyle w:val="ListParagraph"/>
        <w:numPr>
          <w:ilvl w:val="0"/>
          <w:numId w:val="11"/>
        </w:numPr>
        <w:jc w:val="both"/>
        <w:rPr>
          <w:rFonts w:ascii="Garamond" w:hAnsi="Garamond"/>
        </w:rPr>
      </w:pPr>
      <w:proofErr w:type="spellStart"/>
      <w:r w:rsidRPr="0090074D">
        <w:rPr>
          <w:rFonts w:ascii="Garamond" w:hAnsi="Garamond"/>
        </w:rPr>
        <w:t>Venables</w:t>
      </w:r>
      <w:proofErr w:type="spellEnd"/>
      <w:r w:rsidRPr="0090074D">
        <w:rPr>
          <w:rFonts w:ascii="Garamond" w:hAnsi="Garamond"/>
        </w:rPr>
        <w:t xml:space="preserve">, T. (2009), </w:t>
      </w:r>
      <w:proofErr w:type="gramStart"/>
      <w:r w:rsidRPr="0090074D">
        <w:rPr>
          <w:rFonts w:ascii="Garamond" w:hAnsi="Garamond"/>
        </w:rPr>
        <w:t>Rethinking</w:t>
      </w:r>
      <w:proofErr w:type="gramEnd"/>
      <w:r w:rsidRPr="0090074D">
        <w:rPr>
          <w:rFonts w:ascii="Garamond" w:hAnsi="Garamond"/>
        </w:rPr>
        <w:t xml:space="preserve"> economic growth in a globalizing world: an economic geography lens. Spence et al. (</w:t>
      </w:r>
      <w:proofErr w:type="spellStart"/>
      <w:proofErr w:type="gramStart"/>
      <w:r w:rsidRPr="0090074D">
        <w:rPr>
          <w:rFonts w:ascii="Garamond" w:hAnsi="Garamond"/>
        </w:rPr>
        <w:t>ed</w:t>
      </w:r>
      <w:proofErr w:type="spellEnd"/>
      <w:proofErr w:type="gramEnd"/>
      <w:r w:rsidRPr="0090074D">
        <w:rPr>
          <w:rFonts w:ascii="Garamond" w:hAnsi="Garamond"/>
        </w:rPr>
        <w:t xml:space="preserve">), </w:t>
      </w:r>
      <w:r w:rsidRPr="0090074D">
        <w:rPr>
          <w:rFonts w:ascii="Garamond" w:hAnsi="Garamond"/>
          <w:i/>
        </w:rPr>
        <w:t>Urbanization &amp; Growth</w:t>
      </w:r>
      <w:r w:rsidRPr="0090074D">
        <w:rPr>
          <w:rFonts w:ascii="Garamond" w:hAnsi="Garamond"/>
        </w:rPr>
        <w:t>. Commission on Growth and Development – The World Bank. Washington D.C. pp. 47-66</w:t>
      </w:r>
    </w:p>
    <w:p w:rsidR="0090074D" w:rsidRPr="0090074D" w:rsidRDefault="0090074D" w:rsidP="0090074D">
      <w:pPr>
        <w:pStyle w:val="ListParagraph"/>
        <w:ind w:left="360"/>
        <w:jc w:val="both"/>
        <w:rPr>
          <w:rFonts w:ascii="Garamond" w:hAnsi="Garamond"/>
        </w:rPr>
      </w:pPr>
    </w:p>
    <w:p w:rsidR="0090074D" w:rsidRDefault="0090074D" w:rsidP="0090074D">
      <w:pPr>
        <w:pStyle w:val="ListParagraph"/>
        <w:numPr>
          <w:ilvl w:val="0"/>
          <w:numId w:val="11"/>
        </w:numPr>
        <w:jc w:val="both"/>
        <w:rPr>
          <w:rFonts w:ascii="Garamond" w:hAnsi="Garamond"/>
        </w:rPr>
      </w:pPr>
      <w:proofErr w:type="spellStart"/>
      <w:r w:rsidRPr="0090074D">
        <w:rPr>
          <w:rFonts w:ascii="Garamond" w:hAnsi="Garamond"/>
        </w:rPr>
        <w:t>Duranton</w:t>
      </w:r>
      <w:proofErr w:type="spellEnd"/>
      <w:r w:rsidRPr="0090074D">
        <w:rPr>
          <w:rFonts w:ascii="Garamond" w:hAnsi="Garamond"/>
        </w:rPr>
        <w:t>, G. (2009), Are cities engines of growth and prosperity for developing countries? Spence et al. (</w:t>
      </w:r>
      <w:proofErr w:type="spellStart"/>
      <w:proofErr w:type="gramStart"/>
      <w:r w:rsidRPr="0090074D">
        <w:rPr>
          <w:rFonts w:ascii="Garamond" w:hAnsi="Garamond"/>
        </w:rPr>
        <w:t>ed</w:t>
      </w:r>
      <w:proofErr w:type="spellEnd"/>
      <w:proofErr w:type="gramEnd"/>
      <w:r w:rsidRPr="0090074D">
        <w:rPr>
          <w:rFonts w:ascii="Garamond" w:hAnsi="Garamond"/>
        </w:rPr>
        <w:t xml:space="preserve">), </w:t>
      </w:r>
      <w:r w:rsidRPr="0090074D">
        <w:rPr>
          <w:rFonts w:ascii="Garamond" w:hAnsi="Garamond"/>
          <w:i/>
        </w:rPr>
        <w:t>Urbanization &amp; Growth</w:t>
      </w:r>
      <w:r w:rsidRPr="0090074D">
        <w:rPr>
          <w:rFonts w:ascii="Garamond" w:hAnsi="Garamond"/>
        </w:rPr>
        <w:t>. Commission on Growth and Development – The World Bank. Washington D.C. pp.67-114</w:t>
      </w:r>
    </w:p>
    <w:p w:rsidR="0090074D" w:rsidRPr="0090074D" w:rsidRDefault="0090074D" w:rsidP="0090074D">
      <w:pPr>
        <w:pStyle w:val="ListParagraph"/>
        <w:ind w:left="360"/>
        <w:jc w:val="both"/>
        <w:rPr>
          <w:rFonts w:ascii="Garamond" w:hAnsi="Garamond"/>
        </w:rPr>
      </w:pPr>
    </w:p>
    <w:p w:rsidR="0090074D" w:rsidRDefault="0090074D" w:rsidP="0090074D">
      <w:pPr>
        <w:pStyle w:val="ListParagraph"/>
        <w:numPr>
          <w:ilvl w:val="0"/>
          <w:numId w:val="11"/>
        </w:numPr>
        <w:jc w:val="both"/>
        <w:rPr>
          <w:rFonts w:ascii="Garamond" w:hAnsi="Garamond"/>
        </w:rPr>
      </w:pPr>
      <w:proofErr w:type="spellStart"/>
      <w:r w:rsidRPr="0090074D">
        <w:rPr>
          <w:rFonts w:ascii="Garamond" w:hAnsi="Garamond"/>
        </w:rPr>
        <w:t>Motamed</w:t>
      </w:r>
      <w:proofErr w:type="spellEnd"/>
      <w:r w:rsidRPr="0090074D">
        <w:rPr>
          <w:rFonts w:ascii="Garamond" w:hAnsi="Garamond"/>
        </w:rPr>
        <w:t xml:space="preserve">, M.; R. </w:t>
      </w:r>
      <w:proofErr w:type="spellStart"/>
      <w:r w:rsidRPr="0090074D">
        <w:rPr>
          <w:rFonts w:ascii="Garamond" w:hAnsi="Garamond"/>
        </w:rPr>
        <w:t>Florax</w:t>
      </w:r>
      <w:proofErr w:type="spellEnd"/>
      <w:r w:rsidRPr="0090074D">
        <w:rPr>
          <w:rFonts w:ascii="Garamond" w:hAnsi="Garamond"/>
        </w:rPr>
        <w:t xml:space="preserve"> &amp; W. Masters (2014), Agriculture, transportation and the timing of urbanization: global analysis at the grid cell level. </w:t>
      </w:r>
      <w:r w:rsidRPr="0090074D">
        <w:rPr>
          <w:rFonts w:ascii="Garamond" w:hAnsi="Garamond"/>
          <w:i/>
        </w:rPr>
        <w:t>Journal of Economic Growth</w:t>
      </w:r>
      <w:r w:rsidRPr="0090074D">
        <w:rPr>
          <w:rFonts w:ascii="Garamond" w:hAnsi="Garamond"/>
        </w:rPr>
        <w:t xml:space="preserve"> 19, 339-368.</w:t>
      </w:r>
    </w:p>
    <w:p w:rsidR="0090074D" w:rsidRDefault="0090074D" w:rsidP="0090074D">
      <w:pPr>
        <w:pStyle w:val="ListParagraph"/>
        <w:ind w:left="360"/>
        <w:jc w:val="both"/>
        <w:rPr>
          <w:rFonts w:ascii="Garamond" w:hAnsi="Garamond"/>
        </w:rPr>
      </w:pPr>
    </w:p>
    <w:p w:rsidR="0090074D" w:rsidRDefault="0090074D" w:rsidP="0090074D">
      <w:pPr>
        <w:pStyle w:val="ListParagraph"/>
        <w:numPr>
          <w:ilvl w:val="0"/>
          <w:numId w:val="11"/>
        </w:numPr>
        <w:jc w:val="both"/>
        <w:rPr>
          <w:rFonts w:ascii="Garamond" w:hAnsi="Garamond"/>
        </w:rPr>
      </w:pPr>
      <w:proofErr w:type="spellStart"/>
      <w:r w:rsidRPr="0090074D">
        <w:rPr>
          <w:rFonts w:ascii="Garamond" w:hAnsi="Garamond"/>
        </w:rPr>
        <w:t>Gollin</w:t>
      </w:r>
      <w:proofErr w:type="spellEnd"/>
      <w:r w:rsidRPr="0090074D">
        <w:rPr>
          <w:rFonts w:ascii="Garamond" w:hAnsi="Garamond"/>
        </w:rPr>
        <w:t xml:space="preserve">, D.; R. </w:t>
      </w:r>
      <w:proofErr w:type="spellStart"/>
      <w:r w:rsidRPr="0090074D">
        <w:rPr>
          <w:rFonts w:ascii="Garamond" w:hAnsi="Garamond"/>
        </w:rPr>
        <w:t>Jedwab</w:t>
      </w:r>
      <w:proofErr w:type="spellEnd"/>
      <w:r w:rsidRPr="0090074D">
        <w:rPr>
          <w:rFonts w:ascii="Garamond" w:hAnsi="Garamond"/>
        </w:rPr>
        <w:t xml:space="preserve"> &amp; D. Vollrath (2016), Urbanization with and without industrialization. </w:t>
      </w:r>
      <w:r w:rsidRPr="0090074D">
        <w:rPr>
          <w:rFonts w:ascii="Garamond" w:hAnsi="Garamond"/>
          <w:i/>
        </w:rPr>
        <w:t>Journal of Economic Growth</w:t>
      </w:r>
      <w:r w:rsidRPr="0090074D">
        <w:rPr>
          <w:rFonts w:ascii="Garamond" w:hAnsi="Garamond"/>
        </w:rPr>
        <w:t xml:space="preserve"> 21, 35-70.</w:t>
      </w:r>
    </w:p>
    <w:p w:rsidR="0090074D" w:rsidRPr="0090074D" w:rsidRDefault="0090074D" w:rsidP="0090074D">
      <w:pPr>
        <w:pStyle w:val="ListParagraph"/>
        <w:ind w:left="360"/>
        <w:jc w:val="both"/>
        <w:rPr>
          <w:rFonts w:ascii="Garamond" w:hAnsi="Garamond"/>
        </w:rPr>
      </w:pPr>
      <w:bookmarkStart w:id="0" w:name="_GoBack"/>
      <w:bookmarkEnd w:id="0"/>
    </w:p>
    <w:p w:rsidR="00B2689D" w:rsidRPr="0090074D" w:rsidRDefault="00B2689D" w:rsidP="0090074D">
      <w:pPr>
        <w:pStyle w:val="ListParagraph"/>
        <w:numPr>
          <w:ilvl w:val="0"/>
          <w:numId w:val="11"/>
        </w:numPr>
        <w:jc w:val="both"/>
        <w:rPr>
          <w:rFonts w:ascii="Garamond" w:hAnsi="Garamond"/>
        </w:rPr>
      </w:pPr>
      <w:r w:rsidRPr="0090074D">
        <w:rPr>
          <w:rFonts w:ascii="Garamond" w:hAnsi="Garamond"/>
        </w:rPr>
        <w:t>Arnott, R. (2009), Housing policy in developing countries: the importance of the informal economy. Spence et al. (</w:t>
      </w:r>
      <w:proofErr w:type="spellStart"/>
      <w:proofErr w:type="gramStart"/>
      <w:r w:rsidRPr="0090074D">
        <w:rPr>
          <w:rFonts w:ascii="Garamond" w:hAnsi="Garamond"/>
        </w:rPr>
        <w:t>ed</w:t>
      </w:r>
      <w:proofErr w:type="spellEnd"/>
      <w:proofErr w:type="gramEnd"/>
      <w:r w:rsidRPr="0090074D">
        <w:rPr>
          <w:rFonts w:ascii="Garamond" w:hAnsi="Garamond"/>
        </w:rPr>
        <w:t xml:space="preserve">), </w:t>
      </w:r>
      <w:r w:rsidRPr="0090074D">
        <w:rPr>
          <w:rFonts w:ascii="Garamond" w:hAnsi="Garamond"/>
          <w:i/>
        </w:rPr>
        <w:t>Urbanization &amp; Growth</w:t>
      </w:r>
      <w:r w:rsidRPr="0090074D">
        <w:rPr>
          <w:rFonts w:ascii="Garamond" w:hAnsi="Garamond"/>
        </w:rPr>
        <w:t xml:space="preserve">. Commission on Growth and Development – The World Bank. Washington D.C. pp. 167-196 </w:t>
      </w:r>
    </w:p>
    <w:p w:rsidR="00D41DB3" w:rsidRPr="007F4D38" w:rsidRDefault="00D41DB3" w:rsidP="00A250E0">
      <w:pPr>
        <w:jc w:val="both"/>
        <w:rPr>
          <w:rFonts w:ascii="Garamond" w:hAnsi="Garamond"/>
        </w:rPr>
      </w:pPr>
    </w:p>
    <w:p w:rsidR="00D41DB3" w:rsidRPr="00312C83" w:rsidRDefault="007D196E" w:rsidP="00A250E0">
      <w:pPr>
        <w:jc w:val="both"/>
        <w:rPr>
          <w:rFonts w:ascii="Garamond" w:hAnsi="Garamond"/>
          <w:b/>
          <w:sz w:val="28"/>
          <w:szCs w:val="28"/>
        </w:rPr>
      </w:pPr>
      <w:r w:rsidRPr="00312C83">
        <w:rPr>
          <w:rFonts w:ascii="Garamond" w:hAnsi="Garamond"/>
          <w:b/>
          <w:sz w:val="28"/>
          <w:szCs w:val="28"/>
        </w:rPr>
        <w:t xml:space="preserve">Specific </w:t>
      </w:r>
      <w:r w:rsidR="00D41DB3" w:rsidRPr="00312C83">
        <w:rPr>
          <w:rFonts w:ascii="Garamond" w:hAnsi="Garamond"/>
          <w:b/>
          <w:sz w:val="28"/>
          <w:szCs w:val="28"/>
        </w:rPr>
        <w:t>References</w:t>
      </w:r>
      <w:r w:rsidR="00C552D2" w:rsidRPr="00312C83">
        <w:rPr>
          <w:rFonts w:ascii="Garamond" w:hAnsi="Garamond"/>
          <w:b/>
          <w:sz w:val="28"/>
          <w:szCs w:val="28"/>
        </w:rPr>
        <w:t xml:space="preserve"> (presented as a departure point for every research topic during the definition of research topics week</w:t>
      </w:r>
      <w:r w:rsidR="00793D8E" w:rsidRPr="00312C83">
        <w:rPr>
          <w:rFonts w:ascii="Garamond" w:hAnsi="Garamond"/>
          <w:b/>
          <w:sz w:val="28"/>
          <w:szCs w:val="28"/>
        </w:rPr>
        <w:t xml:space="preserve"> and subsequent presentations</w:t>
      </w:r>
      <w:r w:rsidR="00C552D2" w:rsidRPr="00312C83">
        <w:rPr>
          <w:rFonts w:ascii="Garamond" w:hAnsi="Garamond"/>
          <w:b/>
          <w:sz w:val="28"/>
          <w:szCs w:val="28"/>
        </w:rPr>
        <w:t>)</w:t>
      </w:r>
    </w:p>
    <w:p w:rsidR="00D41DB3" w:rsidRDefault="00D41DB3" w:rsidP="00A250E0">
      <w:pPr>
        <w:jc w:val="both"/>
        <w:rPr>
          <w:rFonts w:ascii="Garamond" w:hAnsi="Garamond"/>
          <w:b/>
        </w:rPr>
      </w:pPr>
    </w:p>
    <w:p w:rsidR="00AA11A5" w:rsidRPr="007F4D38" w:rsidRDefault="00AA11A5" w:rsidP="00A250E0">
      <w:pPr>
        <w:jc w:val="both"/>
        <w:rPr>
          <w:rFonts w:ascii="Garamond" w:hAnsi="Garamond"/>
          <w:b/>
        </w:rPr>
      </w:pPr>
    </w:p>
    <w:p w:rsidR="00D41DB3" w:rsidRDefault="00D41DB3" w:rsidP="00D41DB3">
      <w:pPr>
        <w:jc w:val="both"/>
        <w:rPr>
          <w:rFonts w:ascii="Garamond" w:hAnsi="Garamond"/>
          <w:b/>
        </w:rPr>
      </w:pPr>
      <w:r w:rsidRPr="007F4D38">
        <w:rPr>
          <w:rFonts w:ascii="Garamond" w:hAnsi="Garamond"/>
          <w:b/>
        </w:rPr>
        <w:t>Urbanization and (</w:t>
      </w:r>
      <w:r w:rsidR="00312C83">
        <w:rPr>
          <w:rFonts w:ascii="Garamond" w:hAnsi="Garamond"/>
          <w:b/>
        </w:rPr>
        <w:t>d</w:t>
      </w:r>
      <w:r w:rsidRPr="007F4D38">
        <w:rPr>
          <w:rFonts w:ascii="Garamond" w:hAnsi="Garamond"/>
          <w:b/>
        </w:rPr>
        <w:t>e)Industrialization</w:t>
      </w:r>
      <w:r w:rsidR="00AA11A5">
        <w:rPr>
          <w:rFonts w:ascii="Garamond" w:hAnsi="Garamond"/>
          <w:b/>
        </w:rPr>
        <w:t>:</w:t>
      </w:r>
    </w:p>
    <w:p w:rsidR="00AA11A5" w:rsidRDefault="00AA11A5" w:rsidP="00D41DB3">
      <w:pPr>
        <w:jc w:val="both"/>
        <w:rPr>
          <w:rFonts w:ascii="Garamond" w:hAnsi="Garamond"/>
          <w:b/>
        </w:rPr>
      </w:pPr>
    </w:p>
    <w:p w:rsidR="00AA11A5" w:rsidRPr="007F4D38" w:rsidRDefault="00AA11A5" w:rsidP="00D41DB3">
      <w:pPr>
        <w:jc w:val="both"/>
        <w:rPr>
          <w:rFonts w:ascii="Garamond" w:hAnsi="Garamond"/>
          <w:b/>
        </w:rPr>
      </w:pPr>
      <w:r w:rsidRPr="00AA11A5">
        <w:rPr>
          <w:rFonts w:ascii="Garamond" w:hAnsi="Garamond"/>
        </w:rPr>
        <w:t>We debate the conceptual and observed relation between industrialization and urbanization, highlighting its non-realization in the case of some groups of developing countries. In particular, we transcend the neo-institutionalist and macroeconomic views that predominate in this area, emphasizing a spatial and urban markets related approach.</w:t>
      </w:r>
    </w:p>
    <w:p w:rsidR="00724070" w:rsidRPr="007F4D38" w:rsidRDefault="00724070" w:rsidP="00724070">
      <w:pPr>
        <w:pStyle w:val="ListParagraph"/>
        <w:numPr>
          <w:ilvl w:val="0"/>
          <w:numId w:val="4"/>
        </w:numPr>
        <w:jc w:val="both"/>
        <w:rPr>
          <w:rFonts w:ascii="Garamond" w:hAnsi="Garamond" w:cs="Times New Roman"/>
          <w:sz w:val="24"/>
          <w:szCs w:val="24"/>
        </w:rPr>
      </w:pPr>
      <w:r w:rsidRPr="007F4D38">
        <w:rPr>
          <w:rFonts w:ascii="Garamond" w:hAnsi="Garamond" w:cs="Times New Roman"/>
          <w:sz w:val="24"/>
          <w:szCs w:val="24"/>
        </w:rPr>
        <w:t xml:space="preserve">Collier, P. &amp; A. </w:t>
      </w:r>
      <w:proofErr w:type="spellStart"/>
      <w:r w:rsidRPr="007F4D38">
        <w:rPr>
          <w:rFonts w:ascii="Garamond" w:hAnsi="Garamond" w:cs="Times New Roman"/>
          <w:sz w:val="24"/>
          <w:szCs w:val="24"/>
        </w:rPr>
        <w:t>Venables</w:t>
      </w:r>
      <w:proofErr w:type="spellEnd"/>
      <w:r w:rsidRPr="007F4D38">
        <w:rPr>
          <w:rFonts w:ascii="Garamond" w:hAnsi="Garamond" w:cs="Times New Roman"/>
          <w:sz w:val="24"/>
          <w:szCs w:val="24"/>
        </w:rPr>
        <w:t xml:space="preserve"> (2017), Urbanization in developing economies: the assessment. </w:t>
      </w:r>
      <w:r w:rsidRPr="007F4D38">
        <w:rPr>
          <w:rFonts w:ascii="Garamond" w:hAnsi="Garamond" w:cs="Times New Roman"/>
          <w:i/>
          <w:sz w:val="24"/>
          <w:szCs w:val="24"/>
        </w:rPr>
        <w:t>Oxford Review of Economic Policy</w:t>
      </w:r>
      <w:r w:rsidRPr="007F4D38">
        <w:rPr>
          <w:rFonts w:ascii="Garamond" w:hAnsi="Garamond" w:cs="Times New Roman"/>
          <w:sz w:val="24"/>
          <w:szCs w:val="24"/>
        </w:rPr>
        <w:t xml:space="preserve"> 33-3, 355–372</w:t>
      </w:r>
    </w:p>
    <w:p w:rsidR="00C552D2" w:rsidRPr="007F4D38" w:rsidRDefault="00C552D2" w:rsidP="00C552D2">
      <w:pPr>
        <w:pStyle w:val="ListParagraph"/>
        <w:numPr>
          <w:ilvl w:val="0"/>
          <w:numId w:val="4"/>
        </w:numPr>
        <w:jc w:val="both"/>
        <w:rPr>
          <w:rFonts w:ascii="Garamond" w:hAnsi="Garamond" w:cs="Times New Roman"/>
          <w:sz w:val="24"/>
          <w:szCs w:val="24"/>
        </w:rPr>
      </w:pPr>
      <w:r w:rsidRPr="007F4D38">
        <w:rPr>
          <w:rFonts w:ascii="Garamond" w:hAnsi="Garamond" w:cs="Times New Roman"/>
          <w:sz w:val="24"/>
          <w:szCs w:val="24"/>
        </w:rPr>
        <w:t xml:space="preserve">Fox, S. (2012), Urbanization </w:t>
      </w:r>
      <w:r w:rsidR="007D196E" w:rsidRPr="007F4D38">
        <w:rPr>
          <w:rFonts w:ascii="Garamond" w:hAnsi="Garamond" w:cs="Times New Roman"/>
          <w:sz w:val="24"/>
          <w:szCs w:val="24"/>
        </w:rPr>
        <w:t xml:space="preserve">as a global historical process: theory and evidence from </w:t>
      </w:r>
      <w:r w:rsidRPr="007F4D38">
        <w:rPr>
          <w:rFonts w:ascii="Garamond" w:hAnsi="Garamond" w:cs="Times New Roman"/>
          <w:sz w:val="24"/>
          <w:szCs w:val="24"/>
        </w:rPr>
        <w:t xml:space="preserve">sub-Saharan Africa. </w:t>
      </w:r>
      <w:r w:rsidRPr="007F4D38">
        <w:rPr>
          <w:rFonts w:ascii="Garamond" w:hAnsi="Garamond" w:cs="Times New Roman"/>
          <w:i/>
          <w:sz w:val="24"/>
          <w:szCs w:val="24"/>
        </w:rPr>
        <w:t>Population and Development Review</w:t>
      </w:r>
      <w:r w:rsidRPr="007F4D38">
        <w:rPr>
          <w:rFonts w:ascii="Garamond" w:hAnsi="Garamond" w:cs="Times New Roman"/>
          <w:sz w:val="24"/>
          <w:szCs w:val="24"/>
        </w:rPr>
        <w:t xml:space="preserve"> 38 – 2, 285-310.</w:t>
      </w:r>
    </w:p>
    <w:p w:rsidR="00C552D2" w:rsidRPr="007F4D38" w:rsidRDefault="00C552D2" w:rsidP="00C552D2">
      <w:pPr>
        <w:pStyle w:val="ListParagraph"/>
        <w:numPr>
          <w:ilvl w:val="0"/>
          <w:numId w:val="4"/>
        </w:numPr>
        <w:jc w:val="both"/>
        <w:rPr>
          <w:rFonts w:ascii="Garamond" w:hAnsi="Garamond" w:cs="Times New Roman"/>
          <w:sz w:val="24"/>
          <w:szCs w:val="24"/>
        </w:rPr>
      </w:pPr>
      <w:r w:rsidRPr="007F4D38">
        <w:rPr>
          <w:rFonts w:ascii="Garamond" w:hAnsi="Garamond" w:cs="Times New Roman"/>
          <w:sz w:val="24"/>
          <w:szCs w:val="24"/>
        </w:rPr>
        <w:t xml:space="preserve">Henderson, J. and H. Gun Wang (2007), Urbanization and city growth: the role of institutions. </w:t>
      </w:r>
      <w:r w:rsidRPr="007F4D38">
        <w:rPr>
          <w:rFonts w:ascii="Garamond" w:hAnsi="Garamond" w:cs="Times New Roman"/>
          <w:i/>
          <w:sz w:val="24"/>
          <w:szCs w:val="24"/>
        </w:rPr>
        <w:t>Regional Science and Urban Economics</w:t>
      </w:r>
      <w:r w:rsidRPr="007F4D38">
        <w:rPr>
          <w:rFonts w:ascii="Garamond" w:hAnsi="Garamond" w:cs="Times New Roman"/>
          <w:sz w:val="24"/>
          <w:szCs w:val="24"/>
        </w:rPr>
        <w:t xml:space="preserve"> 37, 283-313.</w:t>
      </w:r>
    </w:p>
    <w:p w:rsidR="00724070" w:rsidRDefault="00C552D2" w:rsidP="00C552D2">
      <w:pPr>
        <w:pStyle w:val="ListParagraph"/>
        <w:numPr>
          <w:ilvl w:val="0"/>
          <w:numId w:val="4"/>
        </w:numPr>
        <w:jc w:val="both"/>
        <w:rPr>
          <w:rFonts w:ascii="Garamond" w:hAnsi="Garamond" w:cs="Times New Roman"/>
          <w:sz w:val="24"/>
          <w:szCs w:val="24"/>
        </w:rPr>
      </w:pPr>
      <w:proofErr w:type="spellStart"/>
      <w:r w:rsidRPr="007F4D38">
        <w:rPr>
          <w:rFonts w:ascii="Garamond" w:hAnsi="Garamond" w:cs="Times New Roman"/>
          <w:sz w:val="24"/>
          <w:szCs w:val="24"/>
        </w:rPr>
        <w:t>Lessmann</w:t>
      </w:r>
      <w:proofErr w:type="spellEnd"/>
      <w:r w:rsidRPr="007F4D38">
        <w:rPr>
          <w:rFonts w:ascii="Garamond" w:hAnsi="Garamond" w:cs="Times New Roman"/>
          <w:sz w:val="24"/>
          <w:szCs w:val="24"/>
        </w:rPr>
        <w:t xml:space="preserve">, C. and A. Seidel (2015), </w:t>
      </w:r>
      <w:r w:rsidR="007D196E">
        <w:rPr>
          <w:rFonts w:ascii="Garamond" w:hAnsi="Garamond" w:cs="Times New Roman"/>
          <w:sz w:val="24"/>
          <w:szCs w:val="24"/>
        </w:rPr>
        <w:t>R</w:t>
      </w:r>
      <w:r w:rsidR="007D196E" w:rsidRPr="007F4D38">
        <w:rPr>
          <w:rFonts w:ascii="Garamond" w:hAnsi="Garamond" w:cs="Times New Roman"/>
          <w:sz w:val="24"/>
          <w:szCs w:val="24"/>
        </w:rPr>
        <w:t>egional inequality, convergence, and its determinants – a view from outer space</w:t>
      </w:r>
      <w:r w:rsidRPr="007F4D38">
        <w:rPr>
          <w:rFonts w:ascii="Garamond" w:hAnsi="Garamond" w:cs="Times New Roman"/>
          <w:sz w:val="24"/>
          <w:szCs w:val="24"/>
        </w:rPr>
        <w:t xml:space="preserve">. </w:t>
      </w:r>
      <w:r w:rsidRPr="007F4D38">
        <w:rPr>
          <w:rFonts w:ascii="Garamond" w:hAnsi="Garamond" w:cs="Times New Roman"/>
          <w:i/>
          <w:sz w:val="24"/>
          <w:szCs w:val="24"/>
        </w:rPr>
        <w:t>European Economic Review</w:t>
      </w:r>
      <w:r w:rsidRPr="007F4D38">
        <w:rPr>
          <w:rFonts w:ascii="Garamond" w:hAnsi="Garamond" w:cs="Times New Roman"/>
          <w:sz w:val="24"/>
          <w:szCs w:val="24"/>
        </w:rPr>
        <w:t xml:space="preserve"> 92, 110-132.</w:t>
      </w:r>
    </w:p>
    <w:p w:rsidR="00B2689D" w:rsidRPr="00B2689D" w:rsidRDefault="00B2689D" w:rsidP="00B2689D">
      <w:pPr>
        <w:pStyle w:val="ListParagraph"/>
        <w:numPr>
          <w:ilvl w:val="0"/>
          <w:numId w:val="4"/>
        </w:numPr>
        <w:jc w:val="both"/>
        <w:rPr>
          <w:rFonts w:ascii="Garamond" w:hAnsi="Garamond" w:cs="Times New Roman"/>
          <w:sz w:val="24"/>
          <w:szCs w:val="24"/>
        </w:rPr>
      </w:pPr>
      <w:r w:rsidRPr="00B2689D">
        <w:rPr>
          <w:rFonts w:ascii="Garamond" w:hAnsi="Garamond" w:cs="Times New Roman"/>
          <w:sz w:val="24"/>
          <w:szCs w:val="24"/>
        </w:rPr>
        <w:t>Remi J</w:t>
      </w:r>
      <w:r>
        <w:rPr>
          <w:rFonts w:ascii="Garamond" w:hAnsi="Garamond" w:cs="Times New Roman"/>
          <w:sz w:val="24"/>
          <w:szCs w:val="24"/>
        </w:rPr>
        <w:t>.;</w:t>
      </w:r>
      <w:r w:rsidRPr="00B2689D">
        <w:rPr>
          <w:rFonts w:ascii="Garamond" w:hAnsi="Garamond" w:cs="Times New Roman"/>
          <w:sz w:val="24"/>
          <w:szCs w:val="24"/>
        </w:rPr>
        <w:t xml:space="preserve"> L</w:t>
      </w:r>
      <w:r>
        <w:rPr>
          <w:rFonts w:ascii="Garamond" w:hAnsi="Garamond" w:cs="Times New Roman"/>
          <w:sz w:val="24"/>
          <w:szCs w:val="24"/>
        </w:rPr>
        <w:t>.</w:t>
      </w:r>
      <w:r w:rsidRPr="00B2689D">
        <w:rPr>
          <w:rFonts w:ascii="Garamond" w:hAnsi="Garamond" w:cs="Times New Roman"/>
          <w:sz w:val="24"/>
          <w:szCs w:val="24"/>
        </w:rPr>
        <w:t xml:space="preserve"> </w:t>
      </w:r>
      <w:proofErr w:type="spellStart"/>
      <w:r w:rsidRPr="00B2689D">
        <w:rPr>
          <w:rFonts w:ascii="Garamond" w:hAnsi="Garamond" w:cs="Times New Roman"/>
          <w:sz w:val="24"/>
          <w:szCs w:val="24"/>
        </w:rPr>
        <w:t>Christiaensen</w:t>
      </w:r>
      <w:proofErr w:type="spellEnd"/>
      <w:r>
        <w:rPr>
          <w:rFonts w:ascii="Garamond" w:hAnsi="Garamond" w:cs="Times New Roman"/>
          <w:sz w:val="24"/>
          <w:szCs w:val="24"/>
        </w:rPr>
        <w:t xml:space="preserve"> &amp;</w:t>
      </w:r>
      <w:r w:rsidRPr="00B2689D">
        <w:rPr>
          <w:rFonts w:ascii="Garamond" w:hAnsi="Garamond" w:cs="Times New Roman"/>
          <w:sz w:val="24"/>
          <w:szCs w:val="24"/>
        </w:rPr>
        <w:t xml:space="preserve"> M</w:t>
      </w:r>
      <w:r>
        <w:rPr>
          <w:rFonts w:ascii="Garamond" w:hAnsi="Garamond" w:cs="Times New Roman"/>
          <w:sz w:val="24"/>
          <w:szCs w:val="24"/>
        </w:rPr>
        <w:t>.</w:t>
      </w:r>
      <w:r w:rsidRPr="00B2689D">
        <w:rPr>
          <w:rFonts w:ascii="Garamond" w:hAnsi="Garamond" w:cs="Times New Roman"/>
          <w:sz w:val="24"/>
          <w:szCs w:val="24"/>
        </w:rPr>
        <w:t xml:space="preserve"> </w:t>
      </w:r>
      <w:proofErr w:type="spellStart"/>
      <w:r w:rsidRPr="00B2689D">
        <w:rPr>
          <w:rFonts w:ascii="Garamond" w:hAnsi="Garamond" w:cs="Times New Roman"/>
          <w:sz w:val="24"/>
          <w:szCs w:val="24"/>
        </w:rPr>
        <w:t>Gindelsky</w:t>
      </w:r>
      <w:proofErr w:type="spellEnd"/>
      <w:r>
        <w:rPr>
          <w:rFonts w:ascii="Garamond" w:hAnsi="Garamond" w:cs="Times New Roman"/>
          <w:sz w:val="24"/>
          <w:szCs w:val="24"/>
        </w:rPr>
        <w:t xml:space="preserve"> (2017),</w:t>
      </w:r>
      <w:r w:rsidRPr="00B2689D">
        <w:rPr>
          <w:rFonts w:ascii="Garamond" w:hAnsi="Garamond" w:cs="Times New Roman"/>
          <w:sz w:val="24"/>
          <w:szCs w:val="24"/>
        </w:rPr>
        <w:t xml:space="preserve"> Demography, urbanization and development: </w:t>
      </w:r>
      <w:r>
        <w:rPr>
          <w:rFonts w:ascii="Garamond" w:hAnsi="Garamond" w:cs="Times New Roman"/>
          <w:sz w:val="24"/>
          <w:szCs w:val="24"/>
        </w:rPr>
        <w:t>r</w:t>
      </w:r>
      <w:r w:rsidRPr="00B2689D">
        <w:rPr>
          <w:rFonts w:ascii="Garamond" w:hAnsi="Garamond" w:cs="Times New Roman"/>
          <w:sz w:val="24"/>
          <w:szCs w:val="24"/>
        </w:rPr>
        <w:t xml:space="preserve">ural push, urban pull and…urban push? </w:t>
      </w:r>
      <w:r w:rsidRPr="003F39DB">
        <w:rPr>
          <w:rFonts w:ascii="Garamond" w:hAnsi="Garamond" w:cs="Times New Roman"/>
          <w:i/>
          <w:sz w:val="24"/>
          <w:szCs w:val="24"/>
        </w:rPr>
        <w:t>Journal of Urban Economics</w:t>
      </w:r>
      <w:r>
        <w:rPr>
          <w:rFonts w:ascii="Garamond" w:hAnsi="Garamond" w:cs="Times New Roman"/>
          <w:sz w:val="24"/>
          <w:szCs w:val="24"/>
        </w:rPr>
        <w:t xml:space="preserve"> 98</w:t>
      </w:r>
      <w:r w:rsidRPr="00B2689D">
        <w:rPr>
          <w:rFonts w:ascii="Garamond" w:hAnsi="Garamond" w:cs="Times New Roman"/>
          <w:sz w:val="24"/>
          <w:szCs w:val="24"/>
        </w:rPr>
        <w:t>, 6-16</w:t>
      </w:r>
    </w:p>
    <w:p w:rsidR="00D41DB3" w:rsidRPr="007F4D38" w:rsidRDefault="00D41DB3" w:rsidP="00D41DB3">
      <w:pPr>
        <w:jc w:val="both"/>
        <w:rPr>
          <w:rFonts w:ascii="Garamond" w:hAnsi="Garamond"/>
        </w:rPr>
      </w:pPr>
    </w:p>
    <w:p w:rsidR="00AA11A5" w:rsidRDefault="00D41DB3" w:rsidP="00D41DB3">
      <w:pPr>
        <w:jc w:val="both"/>
        <w:rPr>
          <w:rFonts w:ascii="Garamond" w:hAnsi="Garamond"/>
          <w:b/>
        </w:rPr>
      </w:pPr>
      <w:r w:rsidRPr="007F4D38">
        <w:rPr>
          <w:rFonts w:ascii="Garamond" w:hAnsi="Garamond"/>
          <w:b/>
        </w:rPr>
        <w:t>Urban Primacy</w:t>
      </w:r>
      <w:r w:rsidR="00AA11A5">
        <w:rPr>
          <w:rFonts w:ascii="Garamond" w:hAnsi="Garamond"/>
          <w:b/>
        </w:rPr>
        <w:t>:</w:t>
      </w:r>
    </w:p>
    <w:p w:rsidR="00AA11A5" w:rsidRDefault="00AA11A5" w:rsidP="00D41DB3">
      <w:pPr>
        <w:jc w:val="both"/>
        <w:rPr>
          <w:rFonts w:ascii="Garamond" w:hAnsi="Garamond"/>
          <w:b/>
        </w:rPr>
      </w:pPr>
    </w:p>
    <w:p w:rsidR="00AA11A5" w:rsidRPr="003F39DB" w:rsidRDefault="00AA11A5" w:rsidP="00D41DB3">
      <w:pPr>
        <w:jc w:val="both"/>
        <w:rPr>
          <w:rFonts w:ascii="Garamond" w:hAnsi="Garamond"/>
        </w:rPr>
      </w:pPr>
      <w:r w:rsidRPr="00AA11A5">
        <w:rPr>
          <w:rFonts w:ascii="Garamond" w:hAnsi="Garamond"/>
        </w:rPr>
        <w:t xml:space="preserve">The regularity that urban primacy increases and then decreases as a function of economic development has not been observed in some developing countries’ regions. We want to push the theoretical boundaries regarding the topic, and specially, we want to connect the phenomenon with </w:t>
      </w:r>
      <w:r w:rsidRPr="003F39DB">
        <w:rPr>
          <w:rFonts w:ascii="Garamond" w:hAnsi="Garamond"/>
        </w:rPr>
        <w:t>the spatial structures and markets in these types of cities.</w:t>
      </w:r>
    </w:p>
    <w:p w:rsidR="00C552D2" w:rsidRPr="003F39DB" w:rsidRDefault="00C552D2" w:rsidP="00B2689D">
      <w:pPr>
        <w:pStyle w:val="ListParagraph"/>
        <w:numPr>
          <w:ilvl w:val="0"/>
          <w:numId w:val="8"/>
        </w:numPr>
        <w:jc w:val="both"/>
        <w:rPr>
          <w:rFonts w:ascii="Garamond" w:hAnsi="Garamond" w:cs="Arial"/>
          <w:sz w:val="24"/>
          <w:szCs w:val="24"/>
        </w:rPr>
      </w:pPr>
      <w:proofErr w:type="spellStart"/>
      <w:r w:rsidRPr="003F39DB">
        <w:rPr>
          <w:rFonts w:ascii="Garamond" w:hAnsi="Garamond" w:cs="Arial"/>
          <w:sz w:val="24"/>
          <w:szCs w:val="24"/>
        </w:rPr>
        <w:t>Brulhart</w:t>
      </w:r>
      <w:proofErr w:type="spellEnd"/>
      <w:r w:rsidRPr="003F39DB">
        <w:rPr>
          <w:rFonts w:ascii="Garamond" w:hAnsi="Garamond" w:cs="Arial"/>
          <w:sz w:val="24"/>
          <w:szCs w:val="24"/>
        </w:rPr>
        <w:t xml:space="preserve">, M. and F. </w:t>
      </w:r>
      <w:proofErr w:type="spellStart"/>
      <w:r w:rsidRPr="003F39DB">
        <w:rPr>
          <w:rFonts w:ascii="Garamond" w:hAnsi="Garamond" w:cs="Arial"/>
          <w:sz w:val="24"/>
          <w:szCs w:val="24"/>
        </w:rPr>
        <w:t>Sbergami</w:t>
      </w:r>
      <w:proofErr w:type="spellEnd"/>
      <w:r w:rsidRPr="003F39DB">
        <w:rPr>
          <w:rFonts w:ascii="Garamond" w:hAnsi="Garamond" w:cs="Arial"/>
          <w:sz w:val="24"/>
          <w:szCs w:val="24"/>
        </w:rPr>
        <w:t xml:space="preserve"> (2009), Agglomeration and growth: cross-country evidence. </w:t>
      </w:r>
      <w:r w:rsidRPr="003F39DB">
        <w:rPr>
          <w:rFonts w:ascii="Garamond" w:hAnsi="Garamond" w:cs="Arial"/>
          <w:i/>
          <w:sz w:val="24"/>
          <w:szCs w:val="24"/>
        </w:rPr>
        <w:t>Journal of Urban Economics</w:t>
      </w:r>
      <w:r w:rsidRPr="003F39DB">
        <w:rPr>
          <w:rFonts w:ascii="Garamond" w:hAnsi="Garamond" w:cs="Arial"/>
          <w:sz w:val="24"/>
          <w:szCs w:val="24"/>
        </w:rPr>
        <w:t xml:space="preserve"> 65 – 1, 48-63.</w:t>
      </w:r>
    </w:p>
    <w:p w:rsidR="00793D8E" w:rsidRPr="007D196E" w:rsidRDefault="00793D8E" w:rsidP="00793D8E">
      <w:pPr>
        <w:pStyle w:val="ListParagraph"/>
        <w:numPr>
          <w:ilvl w:val="0"/>
          <w:numId w:val="5"/>
        </w:numPr>
        <w:jc w:val="both"/>
        <w:rPr>
          <w:rFonts w:ascii="Garamond" w:hAnsi="Garamond"/>
          <w:sz w:val="24"/>
          <w:szCs w:val="24"/>
        </w:rPr>
      </w:pPr>
      <w:r w:rsidRPr="003F39DB">
        <w:rPr>
          <w:rFonts w:ascii="Garamond" w:hAnsi="Garamond"/>
          <w:sz w:val="24"/>
          <w:szCs w:val="24"/>
        </w:rPr>
        <w:t>Castells-Quintana, D. (2016), Malthus living in a slum: Urban concentration, infrastructure and</w:t>
      </w:r>
      <w:r w:rsidRPr="007D196E">
        <w:rPr>
          <w:rFonts w:ascii="Garamond" w:hAnsi="Garamond"/>
          <w:sz w:val="24"/>
          <w:szCs w:val="24"/>
        </w:rPr>
        <w:t xml:space="preserve"> economic growth. </w:t>
      </w:r>
      <w:r w:rsidRPr="007D196E">
        <w:rPr>
          <w:rFonts w:ascii="Garamond" w:hAnsi="Garamond"/>
          <w:i/>
          <w:sz w:val="24"/>
          <w:szCs w:val="24"/>
        </w:rPr>
        <w:t>Journal of Urban Economics</w:t>
      </w:r>
      <w:r w:rsidRPr="007D196E">
        <w:rPr>
          <w:rFonts w:ascii="Garamond" w:hAnsi="Garamond"/>
          <w:sz w:val="24"/>
          <w:szCs w:val="24"/>
        </w:rPr>
        <w:t xml:space="preserve"> 92, 31-47.</w:t>
      </w:r>
    </w:p>
    <w:p w:rsidR="00D41DB3" w:rsidRPr="007D196E" w:rsidRDefault="00F32418" w:rsidP="00F32418">
      <w:pPr>
        <w:pStyle w:val="ListParagraph"/>
        <w:numPr>
          <w:ilvl w:val="0"/>
          <w:numId w:val="5"/>
        </w:numPr>
        <w:jc w:val="both"/>
        <w:rPr>
          <w:rFonts w:ascii="Garamond" w:hAnsi="Garamond"/>
          <w:sz w:val="24"/>
          <w:szCs w:val="24"/>
        </w:rPr>
      </w:pPr>
      <w:r w:rsidRPr="007D196E">
        <w:rPr>
          <w:rFonts w:ascii="Garamond" w:hAnsi="Garamond"/>
          <w:sz w:val="24"/>
          <w:szCs w:val="24"/>
        </w:rPr>
        <w:t xml:space="preserve">Frick, S. &amp; A. Rodríguez-Pose (2016), Average city size and economic growth. </w:t>
      </w:r>
      <w:r w:rsidRPr="007D196E">
        <w:rPr>
          <w:rFonts w:ascii="Garamond" w:hAnsi="Garamond"/>
          <w:i/>
          <w:sz w:val="24"/>
          <w:szCs w:val="24"/>
        </w:rPr>
        <w:t>Cambridge Journal of Regions, Economy and Society</w:t>
      </w:r>
      <w:r w:rsidRPr="007D196E">
        <w:rPr>
          <w:rFonts w:ascii="Garamond" w:hAnsi="Garamond"/>
          <w:sz w:val="24"/>
          <w:szCs w:val="24"/>
        </w:rPr>
        <w:t xml:space="preserve"> 9(2), 301–318</w:t>
      </w:r>
    </w:p>
    <w:p w:rsidR="00042664" w:rsidRDefault="00F32418" w:rsidP="00D41DB3">
      <w:pPr>
        <w:pStyle w:val="ListParagraph"/>
        <w:numPr>
          <w:ilvl w:val="0"/>
          <w:numId w:val="5"/>
        </w:numPr>
        <w:jc w:val="both"/>
        <w:rPr>
          <w:rFonts w:ascii="Garamond" w:hAnsi="Garamond"/>
          <w:sz w:val="24"/>
          <w:szCs w:val="24"/>
        </w:rPr>
      </w:pPr>
      <w:r w:rsidRPr="007F4D38">
        <w:rPr>
          <w:rFonts w:ascii="Garamond" w:hAnsi="Garamond"/>
          <w:sz w:val="24"/>
          <w:szCs w:val="24"/>
        </w:rPr>
        <w:t xml:space="preserve">Garza, N. (2016), Primate cities in Latin America: A theoretical framework based upon intra-urban driving forces. </w:t>
      </w:r>
      <w:r w:rsidRPr="007D196E">
        <w:rPr>
          <w:rFonts w:ascii="Garamond" w:hAnsi="Garamond"/>
          <w:i/>
          <w:sz w:val="24"/>
          <w:szCs w:val="24"/>
        </w:rPr>
        <w:t>International Journal of Urban Sciences</w:t>
      </w:r>
      <w:r w:rsidRPr="007F4D38">
        <w:rPr>
          <w:rFonts w:ascii="Garamond" w:hAnsi="Garamond"/>
          <w:sz w:val="24"/>
          <w:szCs w:val="24"/>
        </w:rPr>
        <w:t xml:space="preserve"> 20(2), 241-259.</w:t>
      </w:r>
    </w:p>
    <w:p w:rsidR="00F32418" w:rsidRPr="006473CA" w:rsidRDefault="006F7896" w:rsidP="00D41DB3">
      <w:pPr>
        <w:pStyle w:val="ListParagraph"/>
        <w:numPr>
          <w:ilvl w:val="0"/>
          <w:numId w:val="5"/>
        </w:numPr>
        <w:jc w:val="both"/>
        <w:rPr>
          <w:rFonts w:ascii="Garamond" w:hAnsi="Garamond"/>
          <w:sz w:val="24"/>
          <w:szCs w:val="24"/>
        </w:rPr>
      </w:pPr>
      <w:r w:rsidRPr="006473CA">
        <w:rPr>
          <w:rFonts w:ascii="Garamond" w:hAnsi="Garamond"/>
          <w:sz w:val="24"/>
          <w:szCs w:val="24"/>
        </w:rPr>
        <w:t xml:space="preserve">Au, C. &amp; J. Henderson (2006), </w:t>
      </w:r>
      <w:r w:rsidR="00042664" w:rsidRPr="006473CA">
        <w:rPr>
          <w:rFonts w:ascii="Garamond" w:hAnsi="Garamond"/>
          <w:sz w:val="24"/>
          <w:szCs w:val="24"/>
        </w:rPr>
        <w:t xml:space="preserve">Are Chinese Cities Too Small? </w:t>
      </w:r>
      <w:r w:rsidR="00042664" w:rsidRPr="006473CA">
        <w:rPr>
          <w:rFonts w:ascii="Garamond" w:hAnsi="Garamond"/>
          <w:i/>
          <w:sz w:val="24"/>
          <w:szCs w:val="24"/>
        </w:rPr>
        <w:t>The Review of Economic Studies</w:t>
      </w:r>
      <w:r w:rsidRPr="006473CA">
        <w:rPr>
          <w:rFonts w:ascii="Garamond" w:hAnsi="Garamond"/>
          <w:sz w:val="24"/>
          <w:szCs w:val="24"/>
        </w:rPr>
        <w:t xml:space="preserve"> 73(3), </w:t>
      </w:r>
      <w:r w:rsidR="00042664" w:rsidRPr="006473CA">
        <w:rPr>
          <w:rFonts w:ascii="Garamond" w:hAnsi="Garamond"/>
          <w:sz w:val="24"/>
          <w:szCs w:val="24"/>
        </w:rPr>
        <w:t>549–576</w:t>
      </w:r>
    </w:p>
    <w:p w:rsidR="006F7896" w:rsidRDefault="006F7896" w:rsidP="00D41DB3">
      <w:pPr>
        <w:jc w:val="both"/>
        <w:rPr>
          <w:rFonts w:ascii="Garamond" w:hAnsi="Garamond"/>
          <w:b/>
        </w:rPr>
      </w:pPr>
    </w:p>
    <w:p w:rsidR="00D41DB3" w:rsidRDefault="00D41DB3" w:rsidP="00D41DB3">
      <w:pPr>
        <w:jc w:val="both"/>
        <w:rPr>
          <w:rFonts w:ascii="Garamond" w:hAnsi="Garamond"/>
          <w:b/>
        </w:rPr>
      </w:pPr>
      <w:r w:rsidRPr="007F4D38">
        <w:rPr>
          <w:rFonts w:ascii="Garamond" w:hAnsi="Garamond"/>
          <w:b/>
        </w:rPr>
        <w:t xml:space="preserve">Informal </w:t>
      </w:r>
      <w:r w:rsidR="00F32418" w:rsidRPr="007F4D38">
        <w:rPr>
          <w:rFonts w:ascii="Garamond" w:hAnsi="Garamond"/>
          <w:b/>
        </w:rPr>
        <w:t>Urban Markets</w:t>
      </w:r>
      <w:r w:rsidR="00AA11A5">
        <w:rPr>
          <w:rFonts w:ascii="Garamond" w:hAnsi="Garamond"/>
          <w:b/>
        </w:rPr>
        <w:t>:</w:t>
      </w:r>
    </w:p>
    <w:p w:rsidR="00AA11A5" w:rsidRDefault="00AA11A5" w:rsidP="00D41DB3">
      <w:pPr>
        <w:jc w:val="both"/>
        <w:rPr>
          <w:rFonts w:ascii="Garamond" w:hAnsi="Garamond"/>
          <w:b/>
        </w:rPr>
      </w:pPr>
    </w:p>
    <w:p w:rsidR="00AA11A5" w:rsidRPr="007F4D38" w:rsidRDefault="00AA11A5" w:rsidP="00D41DB3">
      <w:pPr>
        <w:jc w:val="both"/>
        <w:rPr>
          <w:rFonts w:ascii="Garamond" w:hAnsi="Garamond"/>
          <w:b/>
        </w:rPr>
      </w:pPr>
      <w:r w:rsidRPr="00AA11A5">
        <w:rPr>
          <w:rFonts w:ascii="Garamond" w:hAnsi="Garamond"/>
        </w:rPr>
        <w:t xml:space="preserve">This essay debates the spatial structures found in developing countries, departing from a taxonomy of informal developments and into a conceptual debate to the concept itself. The debate illuminates </w:t>
      </w:r>
      <w:r w:rsidRPr="00AA11A5">
        <w:rPr>
          <w:rFonts w:ascii="Garamond" w:hAnsi="Garamond"/>
        </w:rPr>
        <w:lastRenderedPageBreak/>
        <w:t xml:space="preserve">if spatial inequalities are just the reflection of wider socio-economic inequalities, or have urban structure particularities that re-inforce their initial conditions. </w:t>
      </w:r>
      <w:r>
        <w:rPr>
          <w:rFonts w:ascii="Garamond" w:hAnsi="Garamond"/>
        </w:rPr>
        <w:t>What role (positive or negative) does the slum have on economic development?</w:t>
      </w:r>
    </w:p>
    <w:p w:rsidR="00793D8E" w:rsidRPr="007D196E" w:rsidRDefault="00793D8E" w:rsidP="00793D8E">
      <w:pPr>
        <w:pStyle w:val="ListParagraph"/>
        <w:numPr>
          <w:ilvl w:val="0"/>
          <w:numId w:val="6"/>
        </w:numPr>
        <w:jc w:val="both"/>
        <w:rPr>
          <w:rFonts w:ascii="Garamond" w:hAnsi="Garamond"/>
          <w:sz w:val="24"/>
          <w:szCs w:val="24"/>
        </w:rPr>
      </w:pPr>
      <w:r w:rsidRPr="007D196E">
        <w:rPr>
          <w:rFonts w:ascii="Garamond" w:hAnsi="Garamond"/>
          <w:sz w:val="24"/>
          <w:szCs w:val="24"/>
        </w:rPr>
        <w:t xml:space="preserve">Ahmad, S.; M. </w:t>
      </w:r>
      <w:proofErr w:type="spellStart"/>
      <w:r w:rsidRPr="007D196E">
        <w:rPr>
          <w:rFonts w:ascii="Garamond" w:hAnsi="Garamond"/>
          <w:sz w:val="24"/>
          <w:szCs w:val="24"/>
        </w:rPr>
        <w:t>Joong</w:t>
      </w:r>
      <w:proofErr w:type="spellEnd"/>
      <w:r w:rsidRPr="007D196E">
        <w:rPr>
          <w:rFonts w:ascii="Garamond" w:hAnsi="Garamond"/>
          <w:sz w:val="24"/>
          <w:szCs w:val="24"/>
        </w:rPr>
        <w:t xml:space="preserve"> Choi &amp; J. </w:t>
      </w:r>
      <w:proofErr w:type="spellStart"/>
      <w:r w:rsidRPr="007D196E">
        <w:rPr>
          <w:rFonts w:ascii="Garamond" w:hAnsi="Garamond"/>
          <w:sz w:val="24"/>
          <w:szCs w:val="24"/>
        </w:rPr>
        <w:t>Ko</w:t>
      </w:r>
      <w:proofErr w:type="spellEnd"/>
      <w:r w:rsidRPr="007D196E">
        <w:rPr>
          <w:rFonts w:ascii="Garamond" w:hAnsi="Garamond"/>
          <w:sz w:val="24"/>
          <w:szCs w:val="24"/>
        </w:rPr>
        <w:t xml:space="preserve"> (2013), Quantitative and qualitative demand for slum and non-slum housing in Delhi: empirical evidences from household data. </w:t>
      </w:r>
      <w:r w:rsidRPr="007D196E">
        <w:rPr>
          <w:rFonts w:ascii="Garamond" w:hAnsi="Garamond"/>
          <w:i/>
          <w:sz w:val="24"/>
          <w:szCs w:val="24"/>
        </w:rPr>
        <w:t>Habitat International</w:t>
      </w:r>
      <w:r w:rsidRPr="007D196E">
        <w:rPr>
          <w:rFonts w:ascii="Garamond" w:hAnsi="Garamond"/>
          <w:sz w:val="24"/>
          <w:szCs w:val="24"/>
        </w:rPr>
        <w:t xml:space="preserve"> 38, 90-99.</w:t>
      </w:r>
    </w:p>
    <w:p w:rsidR="00793D8E" w:rsidRPr="007D196E" w:rsidRDefault="00523D4A" w:rsidP="00793D8E">
      <w:pPr>
        <w:pStyle w:val="ListParagraph"/>
        <w:numPr>
          <w:ilvl w:val="0"/>
          <w:numId w:val="6"/>
        </w:numPr>
        <w:jc w:val="both"/>
        <w:rPr>
          <w:rFonts w:ascii="Garamond" w:hAnsi="Garamond" w:cs="Arial"/>
          <w:sz w:val="24"/>
          <w:szCs w:val="24"/>
        </w:rPr>
      </w:pPr>
      <w:r>
        <w:rPr>
          <w:rFonts w:ascii="Garamond" w:hAnsi="Garamond" w:cs="Arial"/>
          <w:sz w:val="24"/>
          <w:szCs w:val="24"/>
        </w:rPr>
        <w:t xml:space="preserve">Marx, B; T. Stoker &amp; T. Suri (2013), </w:t>
      </w:r>
      <w:proofErr w:type="gramStart"/>
      <w:r>
        <w:rPr>
          <w:rFonts w:ascii="Garamond" w:hAnsi="Garamond" w:cs="Arial"/>
          <w:sz w:val="24"/>
          <w:szCs w:val="24"/>
        </w:rPr>
        <w:t>The</w:t>
      </w:r>
      <w:proofErr w:type="gramEnd"/>
      <w:r>
        <w:rPr>
          <w:rFonts w:ascii="Garamond" w:hAnsi="Garamond" w:cs="Arial"/>
          <w:sz w:val="24"/>
          <w:szCs w:val="24"/>
        </w:rPr>
        <w:t xml:space="preserve"> economics of slums in the developing world</w:t>
      </w:r>
      <w:r w:rsidRPr="00523D4A">
        <w:rPr>
          <w:rFonts w:ascii="Garamond" w:hAnsi="Garamond" w:cs="Arial"/>
          <w:i/>
          <w:sz w:val="24"/>
          <w:szCs w:val="24"/>
        </w:rPr>
        <w:t>. Journal of Economic Perspectives</w:t>
      </w:r>
      <w:r>
        <w:rPr>
          <w:rFonts w:ascii="Garamond" w:hAnsi="Garamond" w:cs="Arial"/>
          <w:sz w:val="24"/>
          <w:szCs w:val="24"/>
        </w:rPr>
        <w:t xml:space="preserve"> 27(4), 187-210.</w:t>
      </w:r>
    </w:p>
    <w:p w:rsidR="00803721" w:rsidRPr="007D196E" w:rsidRDefault="00803721" w:rsidP="007F4D38">
      <w:pPr>
        <w:pStyle w:val="ListParagraph"/>
        <w:numPr>
          <w:ilvl w:val="0"/>
          <w:numId w:val="6"/>
        </w:numPr>
        <w:jc w:val="both"/>
        <w:rPr>
          <w:rFonts w:ascii="Garamond" w:hAnsi="Garamond" w:cs="Arial"/>
          <w:sz w:val="24"/>
          <w:szCs w:val="24"/>
        </w:rPr>
      </w:pPr>
      <w:r w:rsidRPr="007D196E">
        <w:rPr>
          <w:rFonts w:ascii="Garamond" w:hAnsi="Garamond" w:cs="Arial"/>
          <w:sz w:val="24"/>
          <w:szCs w:val="24"/>
        </w:rPr>
        <w:t xml:space="preserve">Fox, S. (2014), </w:t>
      </w:r>
      <w:proofErr w:type="gramStart"/>
      <w:r w:rsidRPr="007D196E">
        <w:rPr>
          <w:rFonts w:ascii="Garamond" w:hAnsi="Garamond" w:cs="Arial"/>
          <w:sz w:val="24"/>
          <w:szCs w:val="24"/>
        </w:rPr>
        <w:t>The</w:t>
      </w:r>
      <w:proofErr w:type="gramEnd"/>
      <w:r w:rsidRPr="007D196E">
        <w:rPr>
          <w:rFonts w:ascii="Garamond" w:hAnsi="Garamond" w:cs="Arial"/>
          <w:sz w:val="24"/>
          <w:szCs w:val="24"/>
        </w:rPr>
        <w:t xml:space="preserve"> Political Economy of Slums: Theory and Evidence from Sub-Saharan Africa. </w:t>
      </w:r>
      <w:r w:rsidRPr="007D196E">
        <w:rPr>
          <w:rFonts w:ascii="Garamond" w:hAnsi="Garamond" w:cs="Arial"/>
          <w:i/>
          <w:sz w:val="24"/>
          <w:szCs w:val="24"/>
        </w:rPr>
        <w:t>World Development</w:t>
      </w:r>
      <w:r w:rsidRPr="007D196E">
        <w:rPr>
          <w:rFonts w:ascii="Garamond" w:hAnsi="Garamond" w:cs="Arial"/>
          <w:sz w:val="24"/>
          <w:szCs w:val="24"/>
        </w:rPr>
        <w:t xml:space="preserve"> 54, 191–203,</w:t>
      </w:r>
    </w:p>
    <w:p w:rsidR="006A22AC" w:rsidRPr="00B2689D" w:rsidRDefault="006A22AC" w:rsidP="006A22AC">
      <w:pPr>
        <w:pStyle w:val="ListParagraph"/>
        <w:numPr>
          <w:ilvl w:val="0"/>
          <w:numId w:val="6"/>
        </w:numPr>
        <w:jc w:val="both"/>
        <w:rPr>
          <w:rFonts w:ascii="Garamond" w:hAnsi="Garamond" w:cs="Arial"/>
          <w:sz w:val="24"/>
          <w:szCs w:val="24"/>
        </w:rPr>
      </w:pPr>
      <w:proofErr w:type="spellStart"/>
      <w:r w:rsidRPr="00B2689D">
        <w:rPr>
          <w:rFonts w:ascii="Garamond" w:hAnsi="Garamond" w:cs="Arial"/>
          <w:sz w:val="24"/>
          <w:szCs w:val="24"/>
        </w:rPr>
        <w:t>Inostroza</w:t>
      </w:r>
      <w:proofErr w:type="spellEnd"/>
      <w:r w:rsidRPr="00B2689D">
        <w:rPr>
          <w:rFonts w:ascii="Garamond" w:hAnsi="Garamond" w:cs="Arial"/>
          <w:sz w:val="24"/>
          <w:szCs w:val="24"/>
        </w:rPr>
        <w:t xml:space="preserve">, </w:t>
      </w:r>
      <w:r>
        <w:rPr>
          <w:rFonts w:ascii="Garamond" w:hAnsi="Garamond" w:cs="Arial"/>
          <w:sz w:val="24"/>
          <w:szCs w:val="24"/>
        </w:rPr>
        <w:t xml:space="preserve">L. (2017), </w:t>
      </w:r>
      <w:r w:rsidRPr="00B2689D">
        <w:rPr>
          <w:rFonts w:ascii="Garamond" w:hAnsi="Garamond" w:cs="Arial"/>
          <w:sz w:val="24"/>
          <w:szCs w:val="24"/>
        </w:rPr>
        <w:t>Informal urban development in Latin American urban peripheries. Spatial assessment in Bogotá, Lima and Sant</w:t>
      </w:r>
      <w:r>
        <w:rPr>
          <w:rFonts w:ascii="Garamond" w:hAnsi="Garamond" w:cs="Arial"/>
          <w:sz w:val="24"/>
          <w:szCs w:val="24"/>
        </w:rPr>
        <w:t>iago de Chile.</w:t>
      </w:r>
      <w:r w:rsidRPr="00B2689D">
        <w:rPr>
          <w:rFonts w:ascii="Garamond" w:hAnsi="Garamond" w:cs="Arial"/>
          <w:sz w:val="24"/>
          <w:szCs w:val="24"/>
        </w:rPr>
        <w:t xml:space="preserve"> </w:t>
      </w:r>
      <w:r w:rsidRPr="006A22AC">
        <w:rPr>
          <w:rFonts w:ascii="Garamond" w:hAnsi="Garamond" w:cs="Arial"/>
          <w:i/>
          <w:sz w:val="24"/>
          <w:szCs w:val="24"/>
        </w:rPr>
        <w:t>Landscape and Urban Planning</w:t>
      </w:r>
      <w:r>
        <w:rPr>
          <w:rFonts w:ascii="Garamond" w:hAnsi="Garamond" w:cs="Arial"/>
          <w:sz w:val="24"/>
          <w:szCs w:val="24"/>
        </w:rPr>
        <w:t xml:space="preserve"> 165,</w:t>
      </w:r>
      <w:r w:rsidRPr="00B2689D">
        <w:rPr>
          <w:rFonts w:ascii="Garamond" w:hAnsi="Garamond" w:cs="Arial"/>
          <w:sz w:val="24"/>
          <w:szCs w:val="24"/>
        </w:rPr>
        <w:t xml:space="preserve"> 267-279</w:t>
      </w:r>
      <w:r>
        <w:rPr>
          <w:rFonts w:ascii="Garamond" w:hAnsi="Garamond" w:cs="Arial"/>
          <w:sz w:val="24"/>
          <w:szCs w:val="24"/>
        </w:rPr>
        <w:t>.</w:t>
      </w:r>
    </w:p>
    <w:p w:rsidR="00803721" w:rsidRDefault="00803721" w:rsidP="007F4D38">
      <w:pPr>
        <w:pStyle w:val="ListParagraph"/>
        <w:numPr>
          <w:ilvl w:val="0"/>
          <w:numId w:val="6"/>
        </w:numPr>
        <w:jc w:val="both"/>
        <w:rPr>
          <w:rFonts w:ascii="Garamond" w:hAnsi="Garamond" w:cs="Arial"/>
          <w:sz w:val="24"/>
          <w:szCs w:val="24"/>
        </w:rPr>
      </w:pPr>
      <w:proofErr w:type="spellStart"/>
      <w:r w:rsidRPr="007D196E">
        <w:rPr>
          <w:rFonts w:ascii="Garamond" w:hAnsi="Garamond" w:cs="Arial"/>
          <w:sz w:val="24"/>
          <w:szCs w:val="24"/>
        </w:rPr>
        <w:t>Monkoonen</w:t>
      </w:r>
      <w:proofErr w:type="spellEnd"/>
      <w:r w:rsidRPr="007D196E">
        <w:rPr>
          <w:rFonts w:ascii="Garamond" w:hAnsi="Garamond" w:cs="Arial"/>
          <w:sz w:val="24"/>
          <w:szCs w:val="24"/>
        </w:rPr>
        <w:t xml:space="preserve"> P. and L. </w:t>
      </w:r>
      <w:proofErr w:type="spellStart"/>
      <w:r w:rsidRPr="007D196E">
        <w:rPr>
          <w:rFonts w:ascii="Garamond" w:hAnsi="Garamond" w:cs="Arial"/>
          <w:sz w:val="24"/>
          <w:szCs w:val="24"/>
        </w:rPr>
        <w:t>Ronconi</w:t>
      </w:r>
      <w:proofErr w:type="spellEnd"/>
      <w:r w:rsidRPr="007D196E">
        <w:rPr>
          <w:rFonts w:ascii="Garamond" w:hAnsi="Garamond" w:cs="Arial"/>
          <w:sz w:val="24"/>
          <w:szCs w:val="24"/>
        </w:rPr>
        <w:t xml:space="preserve"> (2013), Land use regulations, compliance and land markets in Argentina. </w:t>
      </w:r>
      <w:r w:rsidRPr="007D196E">
        <w:rPr>
          <w:rFonts w:ascii="Garamond" w:hAnsi="Garamond" w:cs="Arial"/>
          <w:i/>
          <w:sz w:val="24"/>
          <w:szCs w:val="24"/>
        </w:rPr>
        <w:t>Urban Studies</w:t>
      </w:r>
      <w:r w:rsidRPr="007D196E">
        <w:rPr>
          <w:rFonts w:ascii="Garamond" w:hAnsi="Garamond" w:cs="Arial"/>
          <w:sz w:val="24"/>
          <w:szCs w:val="24"/>
        </w:rPr>
        <w:t xml:space="preserve"> 50 – 10, 1951-1969.</w:t>
      </w:r>
    </w:p>
    <w:p w:rsidR="00D41DB3" w:rsidRDefault="00D41DB3" w:rsidP="00D41DB3">
      <w:pPr>
        <w:jc w:val="both"/>
        <w:rPr>
          <w:rFonts w:ascii="Garamond" w:hAnsi="Garamond"/>
        </w:rPr>
      </w:pPr>
    </w:p>
    <w:p w:rsidR="007726D3" w:rsidRDefault="00191812" w:rsidP="007726D3">
      <w:pPr>
        <w:jc w:val="both"/>
        <w:rPr>
          <w:rFonts w:ascii="Garamond" w:hAnsi="Garamond"/>
          <w:b/>
        </w:rPr>
      </w:pPr>
      <w:r>
        <w:rPr>
          <w:rFonts w:ascii="Garamond" w:hAnsi="Garamond"/>
          <w:b/>
        </w:rPr>
        <w:t>Entrepreneurialism and Informality</w:t>
      </w:r>
    </w:p>
    <w:p w:rsidR="007726D3" w:rsidRPr="00A37802" w:rsidRDefault="00191812" w:rsidP="00D41DB3">
      <w:pPr>
        <w:jc w:val="both"/>
        <w:rPr>
          <w:rFonts w:ascii="Garamond" w:hAnsi="Garamond"/>
        </w:rPr>
      </w:pPr>
      <w:r w:rsidRPr="00A37802">
        <w:rPr>
          <w:rFonts w:ascii="Garamond" w:hAnsi="Garamond"/>
        </w:rPr>
        <w:t>An important percentage of the economic activity in deve</w:t>
      </w:r>
      <w:r w:rsidR="00770541" w:rsidRPr="00A37802">
        <w:rPr>
          <w:rFonts w:ascii="Garamond" w:hAnsi="Garamond"/>
        </w:rPr>
        <w:t>loping countries occurs out of the radar of formal national accounts. These economic activities in the urban environment, are one of the main sources of employment and value added, and develop their own institutional systems. Can developing countries’ economies harness the power of their informal economies, to incentivize stronger and sustained accumulation processes?</w:t>
      </w:r>
    </w:p>
    <w:p w:rsidR="00770541" w:rsidRPr="00A37802" w:rsidRDefault="00770541" w:rsidP="00A37802">
      <w:pPr>
        <w:pStyle w:val="ListParagraph"/>
        <w:numPr>
          <w:ilvl w:val="0"/>
          <w:numId w:val="9"/>
        </w:numPr>
        <w:jc w:val="both"/>
        <w:rPr>
          <w:rFonts w:ascii="Garamond" w:hAnsi="Garamond"/>
          <w:sz w:val="24"/>
          <w:szCs w:val="24"/>
        </w:rPr>
      </w:pPr>
      <w:r w:rsidRPr="00A37802">
        <w:rPr>
          <w:rFonts w:ascii="Garamond" w:hAnsi="Garamond"/>
          <w:sz w:val="24"/>
          <w:szCs w:val="24"/>
        </w:rPr>
        <w:t xml:space="preserve">Moreno-Monroy, A. (2012), Critical commentary: Informality in space: understanding agglomeration economies during economic development. </w:t>
      </w:r>
      <w:r w:rsidRPr="00A37802">
        <w:rPr>
          <w:rFonts w:ascii="Garamond" w:hAnsi="Garamond"/>
          <w:i/>
          <w:sz w:val="24"/>
          <w:szCs w:val="24"/>
        </w:rPr>
        <w:t>Urban Studies</w:t>
      </w:r>
      <w:r w:rsidRPr="00A37802">
        <w:rPr>
          <w:rFonts w:ascii="Garamond" w:hAnsi="Garamond"/>
          <w:sz w:val="24"/>
          <w:szCs w:val="24"/>
        </w:rPr>
        <w:t xml:space="preserve"> 49(10), 2019-2030.</w:t>
      </w:r>
    </w:p>
    <w:p w:rsidR="00770541" w:rsidRPr="00A37802" w:rsidRDefault="00770541" w:rsidP="00A37802">
      <w:pPr>
        <w:pStyle w:val="ListParagraph"/>
        <w:numPr>
          <w:ilvl w:val="0"/>
          <w:numId w:val="9"/>
        </w:numPr>
        <w:jc w:val="both"/>
        <w:rPr>
          <w:rFonts w:ascii="Garamond" w:hAnsi="Garamond"/>
          <w:sz w:val="24"/>
          <w:szCs w:val="24"/>
        </w:rPr>
      </w:pPr>
      <w:proofErr w:type="spellStart"/>
      <w:r w:rsidRPr="00A37802">
        <w:rPr>
          <w:rFonts w:ascii="Garamond" w:hAnsi="Garamond"/>
          <w:sz w:val="24"/>
          <w:szCs w:val="24"/>
        </w:rPr>
        <w:t>Gulyani</w:t>
      </w:r>
      <w:proofErr w:type="spellEnd"/>
      <w:r w:rsidRPr="00A37802">
        <w:rPr>
          <w:rFonts w:ascii="Garamond" w:hAnsi="Garamond"/>
          <w:sz w:val="24"/>
          <w:szCs w:val="24"/>
        </w:rPr>
        <w:t xml:space="preserve">, S. &amp; D. Talukdar (2010), Inside informality: the links between poverty, microenterprises, and living conditions in Nairobi’s slums. </w:t>
      </w:r>
      <w:r w:rsidR="00BB3BFC" w:rsidRPr="00A37802">
        <w:rPr>
          <w:rFonts w:ascii="Garamond" w:hAnsi="Garamond"/>
          <w:i/>
          <w:sz w:val="24"/>
          <w:szCs w:val="24"/>
        </w:rPr>
        <w:t>World Development</w:t>
      </w:r>
      <w:r w:rsidR="00BB3BFC" w:rsidRPr="00A37802">
        <w:rPr>
          <w:rFonts w:ascii="Garamond" w:hAnsi="Garamond"/>
          <w:sz w:val="24"/>
          <w:szCs w:val="24"/>
        </w:rPr>
        <w:t xml:space="preserve"> 38(12), 1710-1726.</w:t>
      </w:r>
    </w:p>
    <w:p w:rsidR="00770541" w:rsidRPr="00A37802" w:rsidRDefault="00BB3BFC" w:rsidP="00A37802">
      <w:pPr>
        <w:pStyle w:val="ListParagraph"/>
        <w:numPr>
          <w:ilvl w:val="0"/>
          <w:numId w:val="9"/>
        </w:numPr>
        <w:jc w:val="both"/>
        <w:rPr>
          <w:rFonts w:ascii="Garamond" w:hAnsi="Garamond"/>
          <w:sz w:val="24"/>
          <w:szCs w:val="24"/>
        </w:rPr>
      </w:pPr>
      <w:proofErr w:type="spellStart"/>
      <w:r w:rsidRPr="00A37802">
        <w:rPr>
          <w:rFonts w:ascii="Garamond" w:hAnsi="Garamond"/>
          <w:sz w:val="24"/>
          <w:szCs w:val="24"/>
        </w:rPr>
        <w:t>Rangaswamy</w:t>
      </w:r>
      <w:proofErr w:type="spellEnd"/>
      <w:r w:rsidRPr="00A37802">
        <w:rPr>
          <w:rFonts w:ascii="Garamond" w:hAnsi="Garamond"/>
          <w:sz w:val="24"/>
          <w:szCs w:val="24"/>
        </w:rPr>
        <w:t xml:space="preserve">, N. &amp; Nair, S. (2010), The mobile phone store ecology in a Mumbai slum community: hybrid networks for enterprise. </w:t>
      </w:r>
      <w:r w:rsidRPr="00A37802">
        <w:rPr>
          <w:rFonts w:ascii="Garamond" w:hAnsi="Garamond"/>
          <w:i/>
          <w:sz w:val="24"/>
          <w:szCs w:val="24"/>
        </w:rPr>
        <w:t>Information Technologies &amp; International Development</w:t>
      </w:r>
      <w:r w:rsidRPr="00A37802">
        <w:rPr>
          <w:rFonts w:ascii="Garamond" w:hAnsi="Garamond"/>
          <w:sz w:val="24"/>
          <w:szCs w:val="24"/>
        </w:rPr>
        <w:t xml:space="preserve"> 6(3), 51-65.</w:t>
      </w:r>
    </w:p>
    <w:p w:rsidR="00BB3BFC" w:rsidRPr="00A37802" w:rsidRDefault="00BB3BFC" w:rsidP="00A37802">
      <w:pPr>
        <w:pStyle w:val="ListParagraph"/>
        <w:numPr>
          <w:ilvl w:val="0"/>
          <w:numId w:val="9"/>
        </w:numPr>
        <w:jc w:val="both"/>
        <w:rPr>
          <w:rFonts w:ascii="Garamond" w:hAnsi="Garamond"/>
          <w:sz w:val="24"/>
          <w:szCs w:val="24"/>
        </w:rPr>
      </w:pPr>
      <w:proofErr w:type="spellStart"/>
      <w:r w:rsidRPr="00A37802">
        <w:rPr>
          <w:rFonts w:ascii="Garamond" w:hAnsi="Garamond"/>
          <w:sz w:val="24"/>
          <w:szCs w:val="24"/>
        </w:rPr>
        <w:t>Berner</w:t>
      </w:r>
      <w:proofErr w:type="spellEnd"/>
      <w:r w:rsidRPr="00A37802">
        <w:rPr>
          <w:rFonts w:ascii="Garamond" w:hAnsi="Garamond"/>
          <w:sz w:val="24"/>
          <w:szCs w:val="24"/>
        </w:rPr>
        <w:t xml:space="preserve">, E.; G. Gomez and P. </w:t>
      </w:r>
      <w:proofErr w:type="spellStart"/>
      <w:r w:rsidRPr="00A37802">
        <w:rPr>
          <w:rFonts w:ascii="Garamond" w:hAnsi="Garamond"/>
          <w:sz w:val="24"/>
          <w:szCs w:val="24"/>
        </w:rPr>
        <w:t>Knorringa</w:t>
      </w:r>
      <w:proofErr w:type="spellEnd"/>
      <w:r w:rsidRPr="00A37802">
        <w:rPr>
          <w:rFonts w:ascii="Garamond" w:hAnsi="Garamond"/>
          <w:sz w:val="24"/>
          <w:szCs w:val="24"/>
        </w:rPr>
        <w:t xml:space="preserve"> (2012), ‘Helping a large number of people become a little less poor’: the logic of survival entrepreneurs. </w:t>
      </w:r>
      <w:r w:rsidRPr="00A37802">
        <w:rPr>
          <w:rFonts w:ascii="Garamond" w:hAnsi="Garamond"/>
          <w:i/>
          <w:sz w:val="24"/>
          <w:szCs w:val="24"/>
        </w:rPr>
        <w:t>European Journal of Development Research</w:t>
      </w:r>
      <w:r w:rsidRPr="00A37802">
        <w:rPr>
          <w:rFonts w:ascii="Garamond" w:hAnsi="Garamond"/>
          <w:sz w:val="24"/>
          <w:szCs w:val="24"/>
        </w:rPr>
        <w:t xml:space="preserve"> 24, 382–396</w:t>
      </w:r>
    </w:p>
    <w:p w:rsidR="00A37802" w:rsidRPr="00A37802" w:rsidRDefault="00A37802" w:rsidP="00A37802">
      <w:pPr>
        <w:pStyle w:val="ListParagraph"/>
        <w:numPr>
          <w:ilvl w:val="0"/>
          <w:numId w:val="9"/>
        </w:numPr>
        <w:jc w:val="both"/>
        <w:rPr>
          <w:rFonts w:ascii="Garamond" w:hAnsi="Garamond"/>
          <w:sz w:val="24"/>
          <w:szCs w:val="24"/>
        </w:rPr>
      </w:pPr>
      <w:r w:rsidRPr="00A37802">
        <w:rPr>
          <w:rFonts w:ascii="Garamond" w:hAnsi="Garamond"/>
          <w:sz w:val="24"/>
          <w:szCs w:val="24"/>
        </w:rPr>
        <w:t xml:space="preserve">Temkin, B. (2009), Informal self-employment in developing countries: entrepreneurship or survivalist strategy? Some implications for public policy. </w:t>
      </w:r>
      <w:r w:rsidRPr="00A37802">
        <w:rPr>
          <w:rFonts w:ascii="Garamond" w:hAnsi="Garamond"/>
          <w:i/>
          <w:sz w:val="24"/>
          <w:szCs w:val="24"/>
        </w:rPr>
        <w:t>Analyses of Social Issues and Public Policy</w:t>
      </w:r>
      <w:r w:rsidRPr="00A37802">
        <w:rPr>
          <w:rFonts w:ascii="Garamond" w:hAnsi="Garamond"/>
          <w:sz w:val="24"/>
          <w:szCs w:val="24"/>
        </w:rPr>
        <w:t xml:space="preserve"> 9(1), 135-156</w:t>
      </w:r>
    </w:p>
    <w:p w:rsidR="007726D3" w:rsidRPr="007F4D38" w:rsidRDefault="007726D3" w:rsidP="00D41DB3">
      <w:pPr>
        <w:jc w:val="both"/>
        <w:rPr>
          <w:rFonts w:ascii="Garamond" w:hAnsi="Garamond"/>
        </w:rPr>
      </w:pPr>
    </w:p>
    <w:p w:rsidR="00D41DB3" w:rsidRDefault="00D41DB3" w:rsidP="00D41DB3">
      <w:pPr>
        <w:jc w:val="both"/>
        <w:rPr>
          <w:rFonts w:ascii="Garamond" w:hAnsi="Garamond"/>
          <w:b/>
        </w:rPr>
      </w:pPr>
      <w:r w:rsidRPr="007F4D38">
        <w:rPr>
          <w:rFonts w:ascii="Garamond" w:hAnsi="Garamond"/>
          <w:b/>
        </w:rPr>
        <w:t>Popular Housing</w:t>
      </w:r>
    </w:p>
    <w:p w:rsidR="00FD779F" w:rsidRDefault="00FD779F" w:rsidP="00D41DB3">
      <w:pPr>
        <w:jc w:val="both"/>
        <w:rPr>
          <w:rFonts w:ascii="Garamond" w:hAnsi="Garamond"/>
          <w:b/>
        </w:rPr>
      </w:pPr>
    </w:p>
    <w:p w:rsidR="00AA11A5" w:rsidRPr="00FD779F" w:rsidRDefault="00AA11A5" w:rsidP="00D41DB3">
      <w:pPr>
        <w:jc w:val="both"/>
        <w:rPr>
          <w:rFonts w:ascii="Garamond" w:hAnsi="Garamond"/>
        </w:rPr>
      </w:pPr>
      <w:r w:rsidRPr="00FD779F">
        <w:rPr>
          <w:rFonts w:ascii="Garamond" w:hAnsi="Garamond"/>
        </w:rPr>
        <w:t>Housing policies in developing countries respond to different economic and social incentives than in developed countries. The right to housing as</w:t>
      </w:r>
      <w:r w:rsidR="00770541">
        <w:rPr>
          <w:rFonts w:ascii="Garamond" w:hAnsi="Garamond"/>
        </w:rPr>
        <w:t xml:space="preserve"> a</w:t>
      </w:r>
      <w:r w:rsidRPr="00FD779F">
        <w:rPr>
          <w:rFonts w:ascii="Garamond" w:hAnsi="Garamond"/>
        </w:rPr>
        <w:t xml:space="preserve"> shelter is not necessarily </w:t>
      </w:r>
      <w:r w:rsidR="00FD779F" w:rsidRPr="00FD779F">
        <w:rPr>
          <w:rFonts w:ascii="Garamond" w:hAnsi="Garamond"/>
        </w:rPr>
        <w:t>equ</w:t>
      </w:r>
      <w:r w:rsidR="00770541">
        <w:rPr>
          <w:rFonts w:ascii="Garamond" w:hAnsi="Garamond"/>
        </w:rPr>
        <w:t>al to its right as an asset; this discussion has implications beyond the scope of developing countries</w:t>
      </w:r>
      <w:r w:rsidR="00FD779F" w:rsidRPr="00FD779F">
        <w:rPr>
          <w:rFonts w:ascii="Garamond" w:hAnsi="Garamond"/>
        </w:rPr>
        <w:t xml:space="preserve">. What are the reasons and effects of such an approach? Can </w:t>
      </w:r>
      <w:r w:rsidR="00770541">
        <w:rPr>
          <w:rFonts w:ascii="Garamond" w:hAnsi="Garamond"/>
        </w:rPr>
        <w:t>the policy</w:t>
      </w:r>
      <w:r w:rsidR="00FD779F" w:rsidRPr="00FD779F">
        <w:rPr>
          <w:rFonts w:ascii="Garamond" w:hAnsi="Garamond"/>
        </w:rPr>
        <w:t xml:space="preserve"> be modified</w:t>
      </w:r>
      <w:r w:rsidR="00770541">
        <w:rPr>
          <w:rFonts w:ascii="Garamond" w:hAnsi="Garamond"/>
        </w:rPr>
        <w:t>, and h</w:t>
      </w:r>
      <w:r w:rsidR="00FD779F" w:rsidRPr="00FD779F">
        <w:rPr>
          <w:rFonts w:ascii="Garamond" w:hAnsi="Garamond"/>
        </w:rPr>
        <w:t>ous</w:t>
      </w:r>
      <w:r w:rsidR="00770541">
        <w:rPr>
          <w:rFonts w:ascii="Garamond" w:hAnsi="Garamond"/>
        </w:rPr>
        <w:t>ing</w:t>
      </w:r>
      <w:r w:rsidR="00FD779F" w:rsidRPr="00FD779F">
        <w:rPr>
          <w:rFonts w:ascii="Garamond" w:hAnsi="Garamond"/>
        </w:rPr>
        <w:t xml:space="preserve"> more population in fast urban growth countries?</w:t>
      </w:r>
    </w:p>
    <w:p w:rsidR="00AB3E52" w:rsidRPr="00AB3E52" w:rsidRDefault="00AB3E52" w:rsidP="00AB3E52">
      <w:pPr>
        <w:pStyle w:val="ListParagraph"/>
        <w:numPr>
          <w:ilvl w:val="0"/>
          <w:numId w:val="7"/>
        </w:numPr>
        <w:jc w:val="both"/>
        <w:rPr>
          <w:rFonts w:ascii="Garamond" w:hAnsi="Garamond" w:cs="Arial"/>
          <w:sz w:val="24"/>
          <w:szCs w:val="24"/>
        </w:rPr>
      </w:pPr>
      <w:proofErr w:type="spellStart"/>
      <w:r w:rsidRPr="00AB3E52">
        <w:rPr>
          <w:rFonts w:ascii="Garamond" w:hAnsi="Garamond" w:cs="Arial"/>
          <w:sz w:val="24"/>
          <w:szCs w:val="24"/>
        </w:rPr>
        <w:lastRenderedPageBreak/>
        <w:t>Borsdorf</w:t>
      </w:r>
      <w:proofErr w:type="spellEnd"/>
      <w:r w:rsidRPr="00AB3E52">
        <w:rPr>
          <w:rFonts w:ascii="Garamond" w:hAnsi="Garamond" w:cs="Arial"/>
          <w:sz w:val="24"/>
          <w:szCs w:val="24"/>
        </w:rPr>
        <w:t>,</w:t>
      </w:r>
      <w:r>
        <w:rPr>
          <w:rFonts w:ascii="Garamond" w:hAnsi="Garamond" w:cs="Arial"/>
          <w:sz w:val="24"/>
          <w:szCs w:val="24"/>
        </w:rPr>
        <w:t xml:space="preserve"> A.; R. Hidalgo &amp; R.</w:t>
      </w:r>
      <w:r w:rsidRPr="00AB3E52">
        <w:rPr>
          <w:rFonts w:ascii="Garamond" w:hAnsi="Garamond" w:cs="Arial"/>
          <w:sz w:val="24"/>
          <w:szCs w:val="24"/>
        </w:rPr>
        <w:t xml:space="preserve"> Sánchez</w:t>
      </w:r>
      <w:r>
        <w:rPr>
          <w:rFonts w:ascii="Garamond" w:hAnsi="Garamond" w:cs="Arial"/>
          <w:sz w:val="24"/>
          <w:szCs w:val="24"/>
        </w:rPr>
        <w:t xml:space="preserve"> (2007), </w:t>
      </w:r>
      <w:proofErr w:type="gramStart"/>
      <w:r w:rsidRPr="00AB3E52">
        <w:rPr>
          <w:rFonts w:ascii="Garamond" w:hAnsi="Garamond" w:cs="Arial"/>
          <w:sz w:val="24"/>
          <w:szCs w:val="24"/>
        </w:rPr>
        <w:t>A</w:t>
      </w:r>
      <w:proofErr w:type="gramEnd"/>
      <w:r w:rsidRPr="00AB3E52">
        <w:rPr>
          <w:rFonts w:ascii="Garamond" w:hAnsi="Garamond" w:cs="Arial"/>
          <w:sz w:val="24"/>
          <w:szCs w:val="24"/>
        </w:rPr>
        <w:t xml:space="preserve"> new model of urban development in Latin America: </w:t>
      </w:r>
      <w:r>
        <w:rPr>
          <w:rFonts w:ascii="Garamond" w:hAnsi="Garamond" w:cs="Arial"/>
          <w:sz w:val="24"/>
          <w:szCs w:val="24"/>
        </w:rPr>
        <w:t>T</w:t>
      </w:r>
      <w:r w:rsidRPr="00AB3E52">
        <w:rPr>
          <w:rFonts w:ascii="Garamond" w:hAnsi="Garamond" w:cs="Arial"/>
          <w:sz w:val="24"/>
          <w:szCs w:val="24"/>
        </w:rPr>
        <w:t xml:space="preserve">he gated communities and fenced cities in the metropolitan areas of Santiago de Chile </w:t>
      </w:r>
      <w:r>
        <w:rPr>
          <w:rFonts w:ascii="Garamond" w:hAnsi="Garamond" w:cs="Arial"/>
          <w:sz w:val="24"/>
          <w:szCs w:val="24"/>
        </w:rPr>
        <w:t xml:space="preserve">and Valparaíso. </w:t>
      </w:r>
      <w:r w:rsidRPr="00AB3E52">
        <w:rPr>
          <w:rFonts w:ascii="Garamond" w:hAnsi="Garamond" w:cs="Arial"/>
          <w:i/>
          <w:sz w:val="24"/>
          <w:szCs w:val="24"/>
        </w:rPr>
        <w:t xml:space="preserve">Cities </w:t>
      </w:r>
      <w:r>
        <w:rPr>
          <w:rFonts w:ascii="Garamond" w:hAnsi="Garamond" w:cs="Arial"/>
          <w:sz w:val="24"/>
          <w:szCs w:val="24"/>
        </w:rPr>
        <w:t>24(5), 3</w:t>
      </w:r>
      <w:r w:rsidRPr="00AB3E52">
        <w:rPr>
          <w:rFonts w:ascii="Garamond" w:hAnsi="Garamond" w:cs="Arial"/>
          <w:sz w:val="24"/>
          <w:szCs w:val="24"/>
        </w:rPr>
        <w:t>65-378</w:t>
      </w:r>
      <w:r>
        <w:rPr>
          <w:rFonts w:ascii="Garamond" w:hAnsi="Garamond" w:cs="Arial"/>
          <w:sz w:val="24"/>
          <w:szCs w:val="24"/>
        </w:rPr>
        <w:t>.</w:t>
      </w:r>
    </w:p>
    <w:p w:rsidR="006A22AC" w:rsidRPr="006A22AC" w:rsidRDefault="00AB3E52" w:rsidP="00AB3E52">
      <w:pPr>
        <w:pStyle w:val="ListParagraph"/>
        <w:numPr>
          <w:ilvl w:val="0"/>
          <w:numId w:val="7"/>
        </w:numPr>
        <w:jc w:val="both"/>
        <w:rPr>
          <w:rFonts w:ascii="Garamond" w:hAnsi="Garamond"/>
          <w:sz w:val="24"/>
          <w:szCs w:val="24"/>
        </w:rPr>
      </w:pPr>
      <w:r w:rsidRPr="00AB3E52">
        <w:rPr>
          <w:rFonts w:ascii="Garamond" w:hAnsi="Garamond" w:cs="Arial"/>
          <w:sz w:val="24"/>
          <w:szCs w:val="24"/>
        </w:rPr>
        <w:t xml:space="preserve">Keywords: Urban development; urban fragmentation; gated communities; Latin America; </w:t>
      </w:r>
      <w:proofErr w:type="spellStart"/>
      <w:r w:rsidRPr="00AB3E52">
        <w:rPr>
          <w:rFonts w:ascii="Garamond" w:hAnsi="Garamond" w:cs="Arial"/>
          <w:sz w:val="24"/>
          <w:szCs w:val="24"/>
        </w:rPr>
        <w:t>Chile</w:t>
      </w:r>
      <w:r w:rsidR="00487DD8" w:rsidRPr="00487DD8">
        <w:rPr>
          <w:rFonts w:ascii="Garamond" w:hAnsi="Garamond"/>
          <w:sz w:val="24"/>
          <w:szCs w:val="24"/>
        </w:rPr>
        <w:t>Echanove</w:t>
      </w:r>
      <w:proofErr w:type="spellEnd"/>
      <w:r w:rsidR="00487DD8" w:rsidRPr="00487DD8">
        <w:rPr>
          <w:rFonts w:ascii="Garamond" w:hAnsi="Garamond"/>
          <w:sz w:val="24"/>
          <w:szCs w:val="24"/>
        </w:rPr>
        <w:t>,</w:t>
      </w:r>
      <w:r w:rsidR="00487DD8">
        <w:rPr>
          <w:rFonts w:ascii="Garamond" w:hAnsi="Garamond"/>
          <w:sz w:val="24"/>
          <w:szCs w:val="24"/>
        </w:rPr>
        <w:t xml:space="preserve"> M. &amp; R. Srivastava (2011), The </w:t>
      </w:r>
      <w:r w:rsidR="00487DD8" w:rsidRPr="00487DD8">
        <w:rPr>
          <w:rFonts w:ascii="Garamond" w:hAnsi="Garamond"/>
          <w:sz w:val="24"/>
          <w:szCs w:val="24"/>
        </w:rPr>
        <w:t xml:space="preserve">high-rise and the slum: speculative urban development in Mumbai. Brooks, N.; K. </w:t>
      </w:r>
      <w:proofErr w:type="spellStart"/>
      <w:r w:rsidR="00487DD8" w:rsidRPr="00487DD8">
        <w:rPr>
          <w:rFonts w:ascii="Garamond" w:hAnsi="Garamond"/>
          <w:sz w:val="24"/>
          <w:szCs w:val="24"/>
        </w:rPr>
        <w:t>Donaghy</w:t>
      </w:r>
      <w:proofErr w:type="spellEnd"/>
      <w:r w:rsidR="00487DD8" w:rsidRPr="00487DD8">
        <w:rPr>
          <w:rFonts w:ascii="Garamond" w:hAnsi="Garamond"/>
          <w:sz w:val="24"/>
          <w:szCs w:val="24"/>
        </w:rPr>
        <w:t xml:space="preserve"> &amp; G. </w:t>
      </w:r>
      <w:proofErr w:type="spellStart"/>
      <w:r w:rsidR="00487DD8" w:rsidRPr="00487DD8">
        <w:rPr>
          <w:rFonts w:ascii="Garamond" w:hAnsi="Garamond"/>
          <w:sz w:val="24"/>
          <w:szCs w:val="24"/>
        </w:rPr>
        <w:t>Knaap</w:t>
      </w:r>
      <w:proofErr w:type="spellEnd"/>
      <w:r w:rsidR="00487DD8" w:rsidRPr="00487DD8">
        <w:rPr>
          <w:rFonts w:ascii="Garamond" w:hAnsi="Garamond"/>
          <w:sz w:val="24"/>
          <w:szCs w:val="24"/>
        </w:rPr>
        <w:t xml:space="preserve"> (</w:t>
      </w:r>
      <w:proofErr w:type="spellStart"/>
      <w:proofErr w:type="gramStart"/>
      <w:r w:rsidR="00487DD8" w:rsidRPr="00487DD8">
        <w:rPr>
          <w:rFonts w:ascii="Garamond" w:hAnsi="Garamond"/>
          <w:sz w:val="24"/>
          <w:szCs w:val="24"/>
        </w:rPr>
        <w:t>eds</w:t>
      </w:r>
      <w:proofErr w:type="spellEnd"/>
      <w:proofErr w:type="gramEnd"/>
      <w:r w:rsidR="00487DD8" w:rsidRPr="00487DD8">
        <w:rPr>
          <w:rFonts w:ascii="Garamond" w:hAnsi="Garamond"/>
          <w:sz w:val="24"/>
          <w:szCs w:val="24"/>
        </w:rPr>
        <w:t xml:space="preserve">), </w:t>
      </w:r>
      <w:r w:rsidR="00487DD8" w:rsidRPr="00487DD8">
        <w:rPr>
          <w:rFonts w:ascii="Garamond" w:hAnsi="Garamond"/>
          <w:i/>
          <w:sz w:val="24"/>
          <w:szCs w:val="24"/>
        </w:rPr>
        <w:t xml:space="preserve">The Oxford Handbook of </w:t>
      </w:r>
      <w:r w:rsidR="00487DD8" w:rsidRPr="007D196E">
        <w:rPr>
          <w:rFonts w:ascii="Garamond" w:hAnsi="Garamond"/>
          <w:i/>
          <w:sz w:val="24"/>
          <w:szCs w:val="24"/>
        </w:rPr>
        <w:t>Urban Economics and Planning</w:t>
      </w:r>
      <w:r w:rsidR="00487DD8" w:rsidRPr="007D196E">
        <w:rPr>
          <w:rFonts w:ascii="Garamond" w:hAnsi="Garamond"/>
          <w:sz w:val="24"/>
          <w:szCs w:val="24"/>
        </w:rPr>
        <w:t>,</w:t>
      </w:r>
      <w:r w:rsidR="00487DD8">
        <w:rPr>
          <w:rFonts w:ascii="Garamond" w:hAnsi="Garamond"/>
          <w:sz w:val="24"/>
          <w:szCs w:val="24"/>
        </w:rPr>
        <w:t xml:space="preserve"> 789-813</w:t>
      </w:r>
      <w:r w:rsidR="00487DD8" w:rsidRPr="007D196E">
        <w:rPr>
          <w:rFonts w:ascii="Garamond" w:hAnsi="Garamond"/>
          <w:sz w:val="24"/>
          <w:szCs w:val="24"/>
        </w:rPr>
        <w:t>. Oxford University Press UK.</w:t>
      </w:r>
    </w:p>
    <w:p w:rsidR="00D21BC4" w:rsidRPr="007D196E" w:rsidRDefault="00D21BC4" w:rsidP="007F4D38">
      <w:pPr>
        <w:pStyle w:val="ListParagraph"/>
        <w:numPr>
          <w:ilvl w:val="0"/>
          <w:numId w:val="7"/>
        </w:numPr>
        <w:jc w:val="both"/>
        <w:rPr>
          <w:rFonts w:ascii="Garamond" w:hAnsi="Garamond" w:cs="Arial"/>
          <w:sz w:val="24"/>
          <w:szCs w:val="24"/>
        </w:rPr>
      </w:pPr>
      <w:r w:rsidRPr="007D196E">
        <w:rPr>
          <w:rFonts w:ascii="Garamond" w:hAnsi="Garamond" w:cs="Arial"/>
          <w:sz w:val="24"/>
          <w:szCs w:val="24"/>
        </w:rPr>
        <w:t xml:space="preserve">Joseph, M. and F. Wang (2010), Population density patterns in Port-au-Prince, Haiti: A model of Latin American city? </w:t>
      </w:r>
      <w:r w:rsidRPr="007D196E">
        <w:rPr>
          <w:rFonts w:ascii="Garamond" w:hAnsi="Garamond" w:cs="Arial"/>
          <w:i/>
          <w:sz w:val="24"/>
          <w:szCs w:val="24"/>
        </w:rPr>
        <w:t>Cities</w:t>
      </w:r>
      <w:r w:rsidRPr="007D196E">
        <w:rPr>
          <w:rFonts w:ascii="Garamond" w:hAnsi="Garamond" w:cs="Arial"/>
          <w:sz w:val="24"/>
          <w:szCs w:val="24"/>
        </w:rPr>
        <w:t xml:space="preserve"> 27, 127-136</w:t>
      </w:r>
    </w:p>
    <w:p w:rsidR="00793D8E" w:rsidRPr="007D196E" w:rsidRDefault="00793D8E" w:rsidP="00793D8E">
      <w:pPr>
        <w:pStyle w:val="ListParagraph"/>
        <w:numPr>
          <w:ilvl w:val="0"/>
          <w:numId w:val="7"/>
        </w:numPr>
        <w:spacing w:before="240"/>
        <w:jc w:val="both"/>
        <w:rPr>
          <w:rFonts w:ascii="Garamond" w:hAnsi="Garamond" w:cs="Arial"/>
          <w:sz w:val="24"/>
          <w:szCs w:val="24"/>
        </w:rPr>
      </w:pPr>
      <w:r w:rsidRPr="007D196E">
        <w:rPr>
          <w:rFonts w:ascii="Garamond" w:hAnsi="Garamond" w:cs="Arial"/>
          <w:sz w:val="24"/>
          <w:szCs w:val="24"/>
        </w:rPr>
        <w:t xml:space="preserve">Ram, P. (2016, The provision of affordable housing in India: Are commercial developers interested? </w:t>
      </w:r>
      <w:r w:rsidRPr="007D196E">
        <w:rPr>
          <w:rFonts w:ascii="Garamond" w:hAnsi="Garamond" w:cs="Arial"/>
          <w:i/>
          <w:sz w:val="24"/>
          <w:szCs w:val="24"/>
        </w:rPr>
        <w:t xml:space="preserve">Habitat International </w:t>
      </w:r>
      <w:r w:rsidRPr="007D196E">
        <w:rPr>
          <w:rFonts w:ascii="Garamond" w:hAnsi="Garamond" w:cs="Arial"/>
          <w:sz w:val="24"/>
          <w:szCs w:val="24"/>
        </w:rPr>
        <w:t>55, 100-108.</w:t>
      </w:r>
    </w:p>
    <w:p w:rsidR="0094140C" w:rsidRDefault="0094140C" w:rsidP="0094140C">
      <w:pPr>
        <w:pStyle w:val="ListParagraph"/>
        <w:numPr>
          <w:ilvl w:val="0"/>
          <w:numId w:val="7"/>
        </w:numPr>
        <w:jc w:val="both"/>
        <w:rPr>
          <w:rFonts w:ascii="Garamond" w:hAnsi="Garamond"/>
          <w:sz w:val="24"/>
          <w:szCs w:val="24"/>
        </w:rPr>
      </w:pPr>
      <w:proofErr w:type="spellStart"/>
      <w:r w:rsidRPr="007D196E">
        <w:rPr>
          <w:rFonts w:ascii="Garamond" w:hAnsi="Garamond"/>
          <w:sz w:val="24"/>
          <w:szCs w:val="24"/>
        </w:rPr>
        <w:t>Smolka</w:t>
      </w:r>
      <w:proofErr w:type="spellEnd"/>
      <w:r w:rsidRPr="007D196E">
        <w:rPr>
          <w:rFonts w:ascii="Garamond" w:hAnsi="Garamond"/>
          <w:sz w:val="24"/>
          <w:szCs w:val="24"/>
        </w:rPr>
        <w:t xml:space="preserve">, M. &amp; C. </w:t>
      </w:r>
      <w:proofErr w:type="spellStart"/>
      <w:r w:rsidRPr="007D196E">
        <w:rPr>
          <w:rFonts w:ascii="Garamond" w:hAnsi="Garamond"/>
          <w:sz w:val="24"/>
          <w:szCs w:val="24"/>
        </w:rPr>
        <w:t>Biderman</w:t>
      </w:r>
      <w:proofErr w:type="spellEnd"/>
      <w:r w:rsidRPr="007D196E">
        <w:rPr>
          <w:rFonts w:ascii="Garamond" w:hAnsi="Garamond"/>
          <w:sz w:val="24"/>
          <w:szCs w:val="24"/>
        </w:rPr>
        <w:t xml:space="preserve"> (2011), Housing informality: an economist's perspective on urban planning. Brooks, N.; K. Donaghy &amp; G. </w:t>
      </w:r>
      <w:proofErr w:type="spellStart"/>
      <w:r w:rsidRPr="007D196E">
        <w:rPr>
          <w:rFonts w:ascii="Garamond" w:hAnsi="Garamond"/>
          <w:sz w:val="24"/>
          <w:szCs w:val="24"/>
        </w:rPr>
        <w:t>Knaap</w:t>
      </w:r>
      <w:proofErr w:type="spellEnd"/>
      <w:r w:rsidRPr="007D196E">
        <w:rPr>
          <w:rFonts w:ascii="Garamond" w:hAnsi="Garamond"/>
          <w:sz w:val="24"/>
          <w:szCs w:val="24"/>
        </w:rPr>
        <w:t xml:space="preserve"> (</w:t>
      </w:r>
      <w:proofErr w:type="spellStart"/>
      <w:proofErr w:type="gramStart"/>
      <w:r w:rsidRPr="007D196E">
        <w:rPr>
          <w:rFonts w:ascii="Garamond" w:hAnsi="Garamond"/>
          <w:sz w:val="24"/>
          <w:szCs w:val="24"/>
        </w:rPr>
        <w:t>eds</w:t>
      </w:r>
      <w:proofErr w:type="spellEnd"/>
      <w:proofErr w:type="gramEnd"/>
      <w:r w:rsidRPr="007D196E">
        <w:rPr>
          <w:rFonts w:ascii="Garamond" w:hAnsi="Garamond"/>
          <w:sz w:val="24"/>
          <w:szCs w:val="24"/>
        </w:rPr>
        <w:t xml:space="preserve">), </w:t>
      </w:r>
      <w:r w:rsidRPr="007D196E">
        <w:rPr>
          <w:rFonts w:ascii="Garamond" w:hAnsi="Garamond"/>
          <w:i/>
          <w:sz w:val="24"/>
          <w:szCs w:val="24"/>
        </w:rPr>
        <w:t>The Oxford Handbook of Urban Economics and Planning</w:t>
      </w:r>
      <w:r w:rsidRPr="007D196E">
        <w:rPr>
          <w:rFonts w:ascii="Garamond" w:hAnsi="Garamond"/>
          <w:sz w:val="24"/>
          <w:szCs w:val="24"/>
        </w:rPr>
        <w:t>,</w:t>
      </w:r>
      <w:r>
        <w:rPr>
          <w:rFonts w:ascii="Garamond" w:hAnsi="Garamond"/>
          <w:sz w:val="24"/>
          <w:szCs w:val="24"/>
        </w:rPr>
        <w:t xml:space="preserve"> </w:t>
      </w:r>
      <w:r w:rsidR="00487DD8">
        <w:rPr>
          <w:rFonts w:ascii="Garamond" w:hAnsi="Garamond"/>
          <w:sz w:val="24"/>
          <w:szCs w:val="24"/>
        </w:rPr>
        <w:t>814-833</w:t>
      </w:r>
      <w:r w:rsidRPr="007D196E">
        <w:rPr>
          <w:rFonts w:ascii="Garamond" w:hAnsi="Garamond"/>
          <w:sz w:val="24"/>
          <w:szCs w:val="24"/>
        </w:rPr>
        <w:t>. Oxford University Press UK.</w:t>
      </w:r>
    </w:p>
    <w:p w:rsidR="00D41DB3" w:rsidRPr="007D196E" w:rsidRDefault="00D41DB3" w:rsidP="00D41DB3">
      <w:pPr>
        <w:jc w:val="both"/>
        <w:rPr>
          <w:rFonts w:ascii="Garamond" w:hAnsi="Garamond"/>
        </w:rPr>
      </w:pPr>
    </w:p>
    <w:p w:rsidR="00D41DB3" w:rsidRDefault="00D41DB3" w:rsidP="007F4D38">
      <w:pPr>
        <w:jc w:val="both"/>
        <w:rPr>
          <w:rFonts w:ascii="Garamond" w:hAnsi="Garamond"/>
          <w:b/>
        </w:rPr>
      </w:pPr>
      <w:r w:rsidRPr="007D196E">
        <w:rPr>
          <w:rFonts w:ascii="Garamond" w:hAnsi="Garamond"/>
          <w:b/>
        </w:rPr>
        <w:t>Globalization: Challenges and Opportunities</w:t>
      </w:r>
    </w:p>
    <w:p w:rsidR="00FD779F" w:rsidRDefault="00FD779F" w:rsidP="007F4D38">
      <w:pPr>
        <w:jc w:val="both"/>
        <w:rPr>
          <w:rFonts w:ascii="Garamond" w:hAnsi="Garamond"/>
          <w:b/>
        </w:rPr>
      </w:pPr>
    </w:p>
    <w:p w:rsidR="00FD779F" w:rsidRPr="00FD779F" w:rsidRDefault="00FD779F" w:rsidP="007F4D38">
      <w:pPr>
        <w:jc w:val="both"/>
        <w:rPr>
          <w:rFonts w:ascii="Garamond" w:hAnsi="Garamond"/>
        </w:rPr>
      </w:pPr>
      <w:r w:rsidRPr="00FD779F">
        <w:rPr>
          <w:rFonts w:ascii="Garamond" w:hAnsi="Garamond"/>
        </w:rPr>
        <w:t xml:space="preserve">Globalization processes have had deep effects in developing countries’ cities, both direct changes to economic and financial flows, and indirect, policy responses. The spatial and non-spatial impact </w:t>
      </w:r>
      <w:r w:rsidR="003708DF">
        <w:rPr>
          <w:rFonts w:ascii="Garamond" w:hAnsi="Garamond"/>
        </w:rPr>
        <w:t xml:space="preserve">of the emerging social order </w:t>
      </w:r>
      <w:r w:rsidRPr="00FD779F">
        <w:rPr>
          <w:rFonts w:ascii="Garamond" w:hAnsi="Garamond"/>
        </w:rPr>
        <w:t>has been scarcely analyzed</w:t>
      </w:r>
      <w:r w:rsidR="003708DF">
        <w:rPr>
          <w:rFonts w:ascii="Garamond" w:hAnsi="Garamond"/>
        </w:rPr>
        <w:t xml:space="preserve"> in developing countries’ cities. We analyze</w:t>
      </w:r>
      <w:r w:rsidRPr="00FD779F">
        <w:rPr>
          <w:rFonts w:ascii="Garamond" w:hAnsi="Garamond"/>
        </w:rPr>
        <w:t xml:space="preserve"> the variety of globalizing patterns found in so many differ</w:t>
      </w:r>
      <w:r w:rsidR="003708DF">
        <w:rPr>
          <w:rFonts w:ascii="Garamond" w:hAnsi="Garamond"/>
        </w:rPr>
        <w:t xml:space="preserve">ent societies and </w:t>
      </w:r>
      <w:proofErr w:type="spellStart"/>
      <w:r w:rsidR="003708DF">
        <w:rPr>
          <w:rFonts w:ascii="Garamond" w:hAnsi="Garamond"/>
        </w:rPr>
        <w:t>spatialities</w:t>
      </w:r>
      <w:proofErr w:type="spellEnd"/>
      <w:r w:rsidR="003708DF">
        <w:rPr>
          <w:rFonts w:ascii="Garamond" w:hAnsi="Garamond"/>
        </w:rPr>
        <w:t>, where c</w:t>
      </w:r>
      <w:r w:rsidRPr="00FD779F">
        <w:rPr>
          <w:rFonts w:ascii="Garamond" w:hAnsi="Garamond"/>
        </w:rPr>
        <w:t xml:space="preserve">ommon trends </w:t>
      </w:r>
      <w:r w:rsidR="00770541" w:rsidRPr="00FD779F">
        <w:rPr>
          <w:rFonts w:ascii="Garamond" w:hAnsi="Garamond"/>
        </w:rPr>
        <w:t>emerge that</w:t>
      </w:r>
      <w:r w:rsidRPr="00FD779F">
        <w:rPr>
          <w:rFonts w:ascii="Garamond" w:hAnsi="Garamond"/>
        </w:rPr>
        <w:t xml:space="preserve"> give us an idea of present and expected challenges and opportunities.</w:t>
      </w:r>
    </w:p>
    <w:p w:rsidR="00793D8E" w:rsidRPr="007D196E" w:rsidRDefault="00793D8E" w:rsidP="00793D8E">
      <w:pPr>
        <w:pStyle w:val="ListParagraph"/>
        <w:numPr>
          <w:ilvl w:val="0"/>
          <w:numId w:val="7"/>
        </w:numPr>
        <w:jc w:val="both"/>
        <w:rPr>
          <w:rFonts w:ascii="Garamond" w:hAnsi="Garamond" w:cs="Arial"/>
          <w:sz w:val="24"/>
          <w:szCs w:val="24"/>
        </w:rPr>
      </w:pPr>
      <w:proofErr w:type="spellStart"/>
      <w:r w:rsidRPr="007D196E">
        <w:rPr>
          <w:rFonts w:ascii="Garamond" w:hAnsi="Garamond" w:cs="Arial"/>
          <w:sz w:val="24"/>
          <w:szCs w:val="24"/>
        </w:rPr>
        <w:t>Anttiroiko</w:t>
      </w:r>
      <w:proofErr w:type="spellEnd"/>
      <w:r w:rsidRPr="007D196E">
        <w:rPr>
          <w:rFonts w:ascii="Garamond" w:hAnsi="Garamond" w:cs="Arial"/>
          <w:sz w:val="24"/>
          <w:szCs w:val="24"/>
        </w:rPr>
        <w:t xml:space="preserve">, A. (2015), City branding as a response to global intercity competition. </w:t>
      </w:r>
      <w:r w:rsidRPr="007D196E">
        <w:rPr>
          <w:rFonts w:ascii="Garamond" w:hAnsi="Garamond" w:cs="Arial"/>
          <w:i/>
          <w:sz w:val="24"/>
          <w:szCs w:val="24"/>
        </w:rPr>
        <w:t>Growth and Change</w:t>
      </w:r>
      <w:r w:rsidRPr="007D196E">
        <w:rPr>
          <w:rFonts w:ascii="Garamond" w:hAnsi="Garamond" w:cs="Arial"/>
          <w:sz w:val="24"/>
          <w:szCs w:val="24"/>
        </w:rPr>
        <w:t xml:space="preserve"> 46 – 2, 233–252</w:t>
      </w:r>
    </w:p>
    <w:p w:rsidR="00D41DB3" w:rsidRDefault="0002602E" w:rsidP="007F4D38">
      <w:pPr>
        <w:pStyle w:val="ListParagraph"/>
        <w:numPr>
          <w:ilvl w:val="0"/>
          <w:numId w:val="7"/>
        </w:numPr>
        <w:jc w:val="both"/>
        <w:rPr>
          <w:rFonts w:ascii="Garamond" w:hAnsi="Garamond"/>
          <w:sz w:val="24"/>
          <w:szCs w:val="24"/>
        </w:rPr>
      </w:pPr>
      <w:r w:rsidRPr="007D196E">
        <w:rPr>
          <w:rFonts w:ascii="Garamond" w:hAnsi="Garamond"/>
          <w:sz w:val="24"/>
          <w:szCs w:val="24"/>
        </w:rPr>
        <w:t xml:space="preserve">Córdoba, J. &amp; C. Gago (2010), Latin American cities and </w:t>
      </w:r>
      <w:r w:rsidR="007F4D38" w:rsidRPr="007D196E">
        <w:rPr>
          <w:rFonts w:ascii="Garamond" w:hAnsi="Garamond"/>
          <w:sz w:val="24"/>
          <w:szCs w:val="24"/>
        </w:rPr>
        <w:t>globalization</w:t>
      </w:r>
      <w:r w:rsidRPr="007D196E">
        <w:rPr>
          <w:rFonts w:ascii="Garamond" w:hAnsi="Garamond"/>
          <w:sz w:val="24"/>
          <w:szCs w:val="24"/>
        </w:rPr>
        <w:t xml:space="preserve">: change and permanency in the context of development expectations. </w:t>
      </w:r>
      <w:r w:rsidRPr="007D196E">
        <w:rPr>
          <w:rFonts w:ascii="Garamond" w:hAnsi="Garamond"/>
          <w:i/>
          <w:sz w:val="24"/>
          <w:szCs w:val="24"/>
        </w:rPr>
        <w:t>Urban Studies</w:t>
      </w:r>
      <w:r w:rsidRPr="007D196E">
        <w:rPr>
          <w:rFonts w:ascii="Garamond" w:hAnsi="Garamond"/>
          <w:sz w:val="24"/>
          <w:szCs w:val="24"/>
        </w:rPr>
        <w:t xml:space="preserve"> 47(9), 2003-2021.</w:t>
      </w:r>
    </w:p>
    <w:p w:rsidR="006A22AC" w:rsidRPr="007D196E" w:rsidRDefault="006A22AC" w:rsidP="007F4D38">
      <w:pPr>
        <w:pStyle w:val="ListParagraph"/>
        <w:numPr>
          <w:ilvl w:val="0"/>
          <w:numId w:val="7"/>
        </w:numPr>
        <w:jc w:val="both"/>
        <w:rPr>
          <w:rFonts w:ascii="Garamond" w:hAnsi="Garamond"/>
          <w:sz w:val="24"/>
          <w:szCs w:val="24"/>
        </w:rPr>
      </w:pPr>
      <w:r>
        <w:rPr>
          <w:rFonts w:ascii="Garamond" w:hAnsi="Garamond"/>
          <w:sz w:val="24"/>
          <w:szCs w:val="24"/>
        </w:rPr>
        <w:t xml:space="preserve">Garza, N. (2016), Skyscrapers </w:t>
      </w:r>
      <w:r w:rsidR="0090074D">
        <w:rPr>
          <w:rFonts w:ascii="Garamond" w:hAnsi="Garamond"/>
          <w:sz w:val="24"/>
          <w:szCs w:val="24"/>
        </w:rPr>
        <w:t>in Santiago: 300 meters of globalization agenda</w:t>
      </w:r>
      <w:r>
        <w:rPr>
          <w:rFonts w:ascii="Garamond" w:hAnsi="Garamond"/>
          <w:sz w:val="24"/>
          <w:szCs w:val="24"/>
        </w:rPr>
        <w:t xml:space="preserve">. </w:t>
      </w:r>
      <w:r w:rsidRPr="006A22AC">
        <w:rPr>
          <w:rFonts w:ascii="Garamond" w:hAnsi="Garamond"/>
          <w:i/>
          <w:sz w:val="24"/>
          <w:szCs w:val="24"/>
        </w:rPr>
        <w:t xml:space="preserve">Journal of Property </w:t>
      </w:r>
      <w:r w:rsidR="0090074D">
        <w:rPr>
          <w:rFonts w:ascii="Garamond" w:hAnsi="Garamond"/>
          <w:i/>
          <w:sz w:val="24"/>
          <w:szCs w:val="24"/>
        </w:rPr>
        <w:t>Investment &amp; Finance</w:t>
      </w:r>
      <w:r>
        <w:rPr>
          <w:rFonts w:ascii="Garamond" w:hAnsi="Garamond"/>
          <w:sz w:val="24"/>
          <w:szCs w:val="24"/>
        </w:rPr>
        <w:t xml:space="preserve"> </w:t>
      </w:r>
      <w:r w:rsidR="0090074D">
        <w:rPr>
          <w:rFonts w:ascii="Garamond" w:hAnsi="Garamond"/>
          <w:sz w:val="24"/>
          <w:szCs w:val="24"/>
        </w:rPr>
        <w:t>35</w:t>
      </w:r>
      <w:r>
        <w:rPr>
          <w:rFonts w:ascii="Garamond" w:hAnsi="Garamond"/>
          <w:sz w:val="24"/>
          <w:szCs w:val="24"/>
        </w:rPr>
        <w:t>(</w:t>
      </w:r>
      <w:r w:rsidR="0090074D">
        <w:rPr>
          <w:rFonts w:ascii="Garamond" w:hAnsi="Garamond"/>
          <w:sz w:val="24"/>
          <w:szCs w:val="24"/>
        </w:rPr>
        <w:t>5</w:t>
      </w:r>
      <w:r>
        <w:rPr>
          <w:rFonts w:ascii="Garamond" w:hAnsi="Garamond"/>
          <w:sz w:val="24"/>
          <w:szCs w:val="24"/>
        </w:rPr>
        <w:t>), 439-454.</w:t>
      </w:r>
    </w:p>
    <w:p w:rsidR="007F4D38" w:rsidRPr="007D196E" w:rsidRDefault="007F4D38" w:rsidP="007F4D38">
      <w:pPr>
        <w:pStyle w:val="ListParagraph"/>
        <w:numPr>
          <w:ilvl w:val="0"/>
          <w:numId w:val="7"/>
        </w:numPr>
        <w:jc w:val="both"/>
        <w:rPr>
          <w:rFonts w:ascii="Garamond" w:hAnsi="Garamond"/>
          <w:sz w:val="24"/>
          <w:szCs w:val="24"/>
        </w:rPr>
      </w:pPr>
      <w:proofErr w:type="spellStart"/>
      <w:r w:rsidRPr="007D196E">
        <w:rPr>
          <w:rFonts w:ascii="Garamond" w:hAnsi="Garamond" w:cs="Arial"/>
          <w:sz w:val="24"/>
          <w:szCs w:val="24"/>
        </w:rPr>
        <w:t>Öktem</w:t>
      </w:r>
      <w:proofErr w:type="spellEnd"/>
      <w:r w:rsidRPr="007D196E">
        <w:rPr>
          <w:rFonts w:ascii="Garamond" w:hAnsi="Garamond" w:cs="Arial"/>
          <w:sz w:val="24"/>
          <w:szCs w:val="24"/>
        </w:rPr>
        <w:t xml:space="preserve">, B. (2011), </w:t>
      </w:r>
      <w:r w:rsidRPr="007D196E">
        <w:rPr>
          <w:rFonts w:ascii="Garamond" w:hAnsi="Garamond"/>
          <w:sz w:val="24"/>
          <w:szCs w:val="24"/>
        </w:rPr>
        <w:t xml:space="preserve">The role of global city discourses in the development and transformation of the </w:t>
      </w:r>
      <w:proofErr w:type="spellStart"/>
      <w:r w:rsidR="007D196E" w:rsidRPr="007D196E">
        <w:rPr>
          <w:rFonts w:ascii="Garamond" w:hAnsi="Garamond"/>
          <w:sz w:val="24"/>
          <w:szCs w:val="24"/>
        </w:rPr>
        <w:t>Buyukdere</w:t>
      </w:r>
      <w:proofErr w:type="spellEnd"/>
      <w:r w:rsidR="007D196E" w:rsidRPr="007D196E">
        <w:rPr>
          <w:rFonts w:ascii="Garamond" w:hAnsi="Garamond"/>
          <w:sz w:val="24"/>
          <w:szCs w:val="24"/>
        </w:rPr>
        <w:t>–</w:t>
      </w:r>
      <w:proofErr w:type="spellStart"/>
      <w:r w:rsidR="007D196E" w:rsidRPr="007D196E">
        <w:rPr>
          <w:rFonts w:ascii="Garamond" w:hAnsi="Garamond"/>
          <w:sz w:val="24"/>
          <w:szCs w:val="24"/>
        </w:rPr>
        <w:t>Maslak</w:t>
      </w:r>
      <w:proofErr w:type="spellEnd"/>
      <w:r w:rsidR="007D196E" w:rsidRPr="007D196E">
        <w:rPr>
          <w:rFonts w:ascii="Garamond" w:hAnsi="Garamond"/>
          <w:sz w:val="24"/>
          <w:szCs w:val="24"/>
        </w:rPr>
        <w:t xml:space="preserve"> </w:t>
      </w:r>
      <w:r w:rsidRPr="007D196E">
        <w:rPr>
          <w:rFonts w:ascii="Garamond" w:hAnsi="Garamond"/>
          <w:sz w:val="24"/>
          <w:szCs w:val="24"/>
        </w:rPr>
        <w:t xml:space="preserve">axis into the International Business District of Istanbul. </w:t>
      </w:r>
      <w:r w:rsidRPr="007D196E">
        <w:rPr>
          <w:rFonts w:ascii="Garamond" w:hAnsi="Garamond"/>
          <w:i/>
          <w:sz w:val="24"/>
          <w:szCs w:val="24"/>
        </w:rPr>
        <w:t>International Planning Studies</w:t>
      </w:r>
      <w:r w:rsidRPr="007D196E">
        <w:rPr>
          <w:rFonts w:ascii="Garamond" w:hAnsi="Garamond"/>
          <w:sz w:val="24"/>
          <w:szCs w:val="24"/>
        </w:rPr>
        <w:t xml:space="preserve"> 16(1), 27-42</w:t>
      </w:r>
    </w:p>
    <w:p w:rsidR="00D41DB3" w:rsidRPr="00487DD8" w:rsidRDefault="007F4D38" w:rsidP="007F4D38">
      <w:pPr>
        <w:pStyle w:val="ListParagraph"/>
        <w:numPr>
          <w:ilvl w:val="0"/>
          <w:numId w:val="7"/>
        </w:numPr>
        <w:jc w:val="both"/>
        <w:rPr>
          <w:rFonts w:ascii="Garamond" w:hAnsi="Garamond"/>
          <w:sz w:val="24"/>
          <w:szCs w:val="24"/>
        </w:rPr>
      </w:pPr>
      <w:r w:rsidRPr="00487DD8">
        <w:rPr>
          <w:rFonts w:ascii="Garamond" w:hAnsi="Garamond"/>
          <w:sz w:val="24"/>
          <w:szCs w:val="24"/>
        </w:rPr>
        <w:t>Parnell, S. &amp; J, Robinson (2012), (Re)</w:t>
      </w:r>
      <w:r w:rsidR="007D196E" w:rsidRPr="00487DD8">
        <w:rPr>
          <w:rFonts w:ascii="Garamond" w:hAnsi="Garamond"/>
          <w:sz w:val="24"/>
          <w:szCs w:val="24"/>
        </w:rPr>
        <w:t>theorizing cities from the global south: looking beyond neoliberalism</w:t>
      </w:r>
      <w:r w:rsidRPr="00487DD8">
        <w:rPr>
          <w:rFonts w:ascii="Garamond" w:hAnsi="Garamond"/>
          <w:sz w:val="24"/>
          <w:szCs w:val="24"/>
        </w:rPr>
        <w:t xml:space="preserve">. </w:t>
      </w:r>
      <w:r w:rsidRPr="00487DD8">
        <w:rPr>
          <w:rFonts w:ascii="Garamond" w:hAnsi="Garamond"/>
          <w:i/>
          <w:sz w:val="24"/>
          <w:szCs w:val="24"/>
        </w:rPr>
        <w:t>Urban Geography</w:t>
      </w:r>
      <w:r w:rsidRPr="00487DD8">
        <w:rPr>
          <w:rFonts w:ascii="Garamond" w:hAnsi="Garamond"/>
          <w:sz w:val="24"/>
          <w:szCs w:val="24"/>
        </w:rPr>
        <w:t xml:space="preserve"> 33(4), 593-617.</w:t>
      </w:r>
    </w:p>
    <w:sectPr w:rsidR="00D41DB3" w:rsidRPr="00487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CAA"/>
    <w:multiLevelType w:val="hybridMultilevel"/>
    <w:tmpl w:val="FC8C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37138"/>
    <w:multiLevelType w:val="hybridMultilevel"/>
    <w:tmpl w:val="DF289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A967D0"/>
    <w:multiLevelType w:val="hybridMultilevel"/>
    <w:tmpl w:val="5746B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933372"/>
    <w:multiLevelType w:val="hybridMultilevel"/>
    <w:tmpl w:val="21A2B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AD6FB1"/>
    <w:multiLevelType w:val="hybridMultilevel"/>
    <w:tmpl w:val="2CE01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3E4CA3"/>
    <w:multiLevelType w:val="hybridMultilevel"/>
    <w:tmpl w:val="C28AC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5B1399"/>
    <w:multiLevelType w:val="hybridMultilevel"/>
    <w:tmpl w:val="02247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255398"/>
    <w:multiLevelType w:val="hybridMultilevel"/>
    <w:tmpl w:val="8ED4C1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7A6BF7"/>
    <w:multiLevelType w:val="hybridMultilevel"/>
    <w:tmpl w:val="6EE6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0D06F6"/>
    <w:multiLevelType w:val="hybridMultilevel"/>
    <w:tmpl w:val="68700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707BA7"/>
    <w:multiLevelType w:val="hybridMultilevel"/>
    <w:tmpl w:val="08A05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5"/>
  </w:num>
  <w:num w:numId="6">
    <w:abstractNumId w:val="8"/>
  </w:num>
  <w:num w:numId="7">
    <w:abstractNumId w:val="3"/>
  </w:num>
  <w:num w:numId="8">
    <w:abstractNumId w:val="0"/>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52"/>
    <w:rsid w:val="000003F8"/>
    <w:rsid w:val="0002602E"/>
    <w:rsid w:val="00042664"/>
    <w:rsid w:val="00075FFE"/>
    <w:rsid w:val="001840BE"/>
    <w:rsid w:val="00191812"/>
    <w:rsid w:val="001955FD"/>
    <w:rsid w:val="001C5CD3"/>
    <w:rsid w:val="00222AB5"/>
    <w:rsid w:val="00257868"/>
    <w:rsid w:val="002A7F0A"/>
    <w:rsid w:val="002C2AAF"/>
    <w:rsid w:val="002C2BFF"/>
    <w:rsid w:val="002E7DFA"/>
    <w:rsid w:val="00312C83"/>
    <w:rsid w:val="003374E9"/>
    <w:rsid w:val="00353035"/>
    <w:rsid w:val="00354312"/>
    <w:rsid w:val="003708DF"/>
    <w:rsid w:val="00393EAF"/>
    <w:rsid w:val="003A51D0"/>
    <w:rsid w:val="003F39DB"/>
    <w:rsid w:val="004855BB"/>
    <w:rsid w:val="00487DD8"/>
    <w:rsid w:val="004C4ED3"/>
    <w:rsid w:val="004C6F68"/>
    <w:rsid w:val="00523D4A"/>
    <w:rsid w:val="0057558E"/>
    <w:rsid w:val="005C7642"/>
    <w:rsid w:val="00631DFF"/>
    <w:rsid w:val="006473CA"/>
    <w:rsid w:val="006A22AC"/>
    <w:rsid w:val="006A55DC"/>
    <w:rsid w:val="006F461A"/>
    <w:rsid w:val="006F7896"/>
    <w:rsid w:val="00724070"/>
    <w:rsid w:val="00732768"/>
    <w:rsid w:val="0073752B"/>
    <w:rsid w:val="00770541"/>
    <w:rsid w:val="007726D3"/>
    <w:rsid w:val="00780EB5"/>
    <w:rsid w:val="00793D8E"/>
    <w:rsid w:val="007D196E"/>
    <w:rsid w:val="007F4D38"/>
    <w:rsid w:val="00803721"/>
    <w:rsid w:val="008201AF"/>
    <w:rsid w:val="00875177"/>
    <w:rsid w:val="008D5440"/>
    <w:rsid w:val="0090074D"/>
    <w:rsid w:val="0094140C"/>
    <w:rsid w:val="009720D8"/>
    <w:rsid w:val="00994475"/>
    <w:rsid w:val="00A130A6"/>
    <w:rsid w:val="00A250E0"/>
    <w:rsid w:val="00A268D2"/>
    <w:rsid w:val="00A37802"/>
    <w:rsid w:val="00A41AD4"/>
    <w:rsid w:val="00A5170F"/>
    <w:rsid w:val="00AA11A5"/>
    <w:rsid w:val="00AA2DB7"/>
    <w:rsid w:val="00AA3D1A"/>
    <w:rsid w:val="00AB3E52"/>
    <w:rsid w:val="00AC7B0B"/>
    <w:rsid w:val="00B254DD"/>
    <w:rsid w:val="00B2689D"/>
    <w:rsid w:val="00B568EA"/>
    <w:rsid w:val="00B94B5A"/>
    <w:rsid w:val="00BB3BFC"/>
    <w:rsid w:val="00C42D84"/>
    <w:rsid w:val="00C552D2"/>
    <w:rsid w:val="00C71A1F"/>
    <w:rsid w:val="00C93EC8"/>
    <w:rsid w:val="00CD101C"/>
    <w:rsid w:val="00CF1A11"/>
    <w:rsid w:val="00D21BC4"/>
    <w:rsid w:val="00D41DB3"/>
    <w:rsid w:val="00D52ED3"/>
    <w:rsid w:val="00DB1852"/>
    <w:rsid w:val="00DE58A5"/>
    <w:rsid w:val="00E07118"/>
    <w:rsid w:val="00E16430"/>
    <w:rsid w:val="00E332C8"/>
    <w:rsid w:val="00F0526A"/>
    <w:rsid w:val="00F32418"/>
    <w:rsid w:val="00FC59CD"/>
    <w:rsid w:val="00FD779F"/>
    <w:rsid w:val="00FF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8C33"/>
  <w15:docId w15:val="{E2FAF6CA-F89E-4B27-B633-8EE373C1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5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852"/>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DB1852"/>
    <w:rPr>
      <w:color w:val="0563C1" w:themeColor="hyperlink"/>
      <w:u w:val="single"/>
    </w:rPr>
  </w:style>
  <w:style w:type="paragraph" w:styleId="BodyText">
    <w:name w:val="Body Text"/>
    <w:basedOn w:val="Normal"/>
    <w:link w:val="BodyTextChar"/>
    <w:uiPriority w:val="1"/>
    <w:qFormat/>
    <w:rsid w:val="00770541"/>
    <w:pPr>
      <w:autoSpaceDE w:val="0"/>
      <w:autoSpaceDN w:val="0"/>
      <w:adjustRightInd w:val="0"/>
      <w:spacing w:before="162"/>
      <w:ind w:left="1764" w:hanging="1707"/>
    </w:pPr>
    <w:rPr>
      <w:rFonts w:ascii="Arial" w:eastAsiaTheme="minorHAnsi" w:hAnsi="Arial" w:cs="Arial"/>
      <w:b/>
      <w:bCs/>
      <w:lang w:eastAsia="en-US"/>
    </w:rPr>
  </w:style>
  <w:style w:type="character" w:customStyle="1" w:styleId="BodyTextChar">
    <w:name w:val="Body Text Char"/>
    <w:basedOn w:val="DefaultParagraphFont"/>
    <w:link w:val="BodyText"/>
    <w:uiPriority w:val="1"/>
    <w:rsid w:val="00770541"/>
    <w:rPr>
      <w:rFonts w:ascii="Arial" w:hAnsi="Arial" w:cs="Arial"/>
      <w:b/>
      <w:bCs/>
      <w:sz w:val="24"/>
      <w:szCs w:val="24"/>
    </w:rPr>
  </w:style>
  <w:style w:type="character" w:styleId="FollowedHyperlink">
    <w:name w:val="FollowedHyperlink"/>
    <w:basedOn w:val="DefaultParagraphFont"/>
    <w:uiPriority w:val="99"/>
    <w:semiHidden/>
    <w:unhideWhenUsed/>
    <w:rsid w:val="001C5C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d.infobase.com/p_Home.aspx" TargetMode="External"/><Relationship Id="rId3" Type="http://schemas.openxmlformats.org/officeDocument/2006/relationships/settings" Target="settings.xml"/><Relationship Id="rId7" Type="http://schemas.openxmlformats.org/officeDocument/2006/relationships/hyperlink" Target="http://libguides.gatech.edu/c.php?g=54271&amp;p=3503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uides.gatech.edu/citationtools/aboutplag" TargetMode="External"/><Relationship Id="rId5" Type="http://schemas.openxmlformats.org/officeDocument/2006/relationships/hyperlink" Target="http://disabilityservices.gatech.edu/content/welcome-accommoda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1922</TotalTime>
  <Pages>8</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Garza</dc:creator>
  <cp:keywords/>
  <dc:description/>
  <cp:lastModifiedBy>Garza Puentes, Nestor F</cp:lastModifiedBy>
  <cp:revision>38</cp:revision>
  <dcterms:created xsi:type="dcterms:W3CDTF">2017-08-11T21:33:00Z</dcterms:created>
  <dcterms:modified xsi:type="dcterms:W3CDTF">2018-01-11T15:18:00Z</dcterms:modified>
</cp:coreProperties>
</file>